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1D48" w14:textId="3D3A0B22" w:rsidR="00A746EF" w:rsidRPr="00E04892" w:rsidRDefault="00A746EF">
      <w:pPr>
        <w:spacing w:after="0" w:line="240" w:lineRule="auto"/>
        <w:rPr>
          <w:b/>
          <w:bCs/>
          <w:sz w:val="32"/>
          <w:szCs w:val="36"/>
        </w:rPr>
      </w:pPr>
    </w:p>
    <w:p w14:paraId="2BCFA0A6" w14:textId="77777777" w:rsidR="00A746EF" w:rsidRPr="00E04892" w:rsidRDefault="00A746EF">
      <w:pPr>
        <w:spacing w:after="0" w:line="240" w:lineRule="auto"/>
        <w:rPr>
          <w:b/>
          <w:bCs/>
          <w:sz w:val="32"/>
          <w:szCs w:val="36"/>
        </w:rPr>
      </w:pPr>
    </w:p>
    <w:p w14:paraId="1EBBA3CF" w14:textId="77777777" w:rsidR="00A746EF" w:rsidRPr="00E04892" w:rsidRDefault="00A746EF">
      <w:pPr>
        <w:spacing w:after="0" w:line="240" w:lineRule="auto"/>
        <w:rPr>
          <w:b/>
          <w:bCs/>
          <w:sz w:val="32"/>
          <w:szCs w:val="36"/>
        </w:rPr>
      </w:pPr>
    </w:p>
    <w:p w14:paraId="3E0545E1" w14:textId="7E6B6DC1" w:rsidR="00A746EF" w:rsidRPr="00E04892" w:rsidRDefault="00A746EF">
      <w:pPr>
        <w:spacing w:after="0" w:line="240" w:lineRule="auto"/>
        <w:rPr>
          <w:b/>
          <w:bCs/>
          <w:sz w:val="32"/>
          <w:szCs w:val="36"/>
        </w:rPr>
      </w:pPr>
      <w:r w:rsidRPr="00E04892">
        <w:rPr>
          <w:b/>
          <w:bCs/>
          <w:sz w:val="32"/>
          <w:szCs w:val="36"/>
        </w:rPr>
        <w:t xml:space="preserve">Analyserapport </w:t>
      </w:r>
    </w:p>
    <w:p w14:paraId="7A5E7906" w14:textId="1555DB63" w:rsidR="00A746EF" w:rsidRPr="00E04892" w:rsidRDefault="00A746EF">
      <w:pPr>
        <w:spacing w:after="0" w:line="240" w:lineRule="auto"/>
        <w:rPr>
          <w:b/>
          <w:bCs/>
          <w:sz w:val="32"/>
          <w:szCs w:val="36"/>
        </w:rPr>
      </w:pPr>
    </w:p>
    <w:p w14:paraId="19CE105A" w14:textId="5AFA1C3B" w:rsidR="00A746EF" w:rsidRPr="00A746EF" w:rsidRDefault="00A746EF">
      <w:pPr>
        <w:spacing w:after="0" w:line="240" w:lineRule="auto"/>
        <w:rPr>
          <w:b/>
          <w:bCs/>
          <w:sz w:val="32"/>
          <w:szCs w:val="36"/>
        </w:rPr>
      </w:pPr>
      <w:r w:rsidRPr="00A746EF">
        <w:rPr>
          <w:b/>
          <w:bCs/>
          <w:sz w:val="32"/>
          <w:szCs w:val="36"/>
        </w:rPr>
        <w:t>Grøn Taksonomi</w:t>
      </w:r>
      <w:r w:rsidR="0040460C">
        <w:rPr>
          <w:b/>
          <w:bCs/>
          <w:sz w:val="32"/>
          <w:szCs w:val="36"/>
        </w:rPr>
        <w:t xml:space="preserve"> </w:t>
      </w:r>
      <w:r w:rsidRPr="00A746EF">
        <w:rPr>
          <w:b/>
          <w:bCs/>
          <w:sz w:val="32"/>
          <w:szCs w:val="36"/>
        </w:rPr>
        <w:t>og Lokal Erhve</w:t>
      </w:r>
      <w:r>
        <w:rPr>
          <w:b/>
          <w:bCs/>
          <w:sz w:val="32"/>
          <w:szCs w:val="36"/>
        </w:rPr>
        <w:t>rvsfremme</w:t>
      </w:r>
    </w:p>
    <w:p w14:paraId="777F443A" w14:textId="77777777" w:rsidR="00A746EF" w:rsidRPr="00A746EF" w:rsidRDefault="00A746EF">
      <w:pPr>
        <w:spacing w:after="0" w:line="240" w:lineRule="auto"/>
        <w:rPr>
          <w:b/>
          <w:bCs/>
          <w:sz w:val="32"/>
          <w:szCs w:val="36"/>
        </w:rPr>
      </w:pPr>
    </w:p>
    <w:p w14:paraId="2AC72990" w14:textId="77777777" w:rsidR="00A746EF" w:rsidRPr="00A746EF" w:rsidRDefault="00A746EF">
      <w:pPr>
        <w:spacing w:after="0" w:line="240" w:lineRule="auto"/>
        <w:rPr>
          <w:b/>
          <w:bCs/>
          <w:sz w:val="32"/>
          <w:szCs w:val="36"/>
        </w:rPr>
      </w:pPr>
    </w:p>
    <w:p w14:paraId="46EF0EF9" w14:textId="77777777" w:rsidR="00A746EF" w:rsidRPr="00A746EF" w:rsidRDefault="00A746EF">
      <w:pPr>
        <w:spacing w:after="0" w:line="240" w:lineRule="auto"/>
        <w:rPr>
          <w:b/>
          <w:bCs/>
          <w:sz w:val="32"/>
          <w:szCs w:val="36"/>
        </w:rPr>
      </w:pPr>
    </w:p>
    <w:p w14:paraId="0FAF541F" w14:textId="77777777" w:rsidR="00A746EF" w:rsidRPr="00A746EF" w:rsidRDefault="00A746EF">
      <w:pPr>
        <w:spacing w:after="0" w:line="240" w:lineRule="auto"/>
        <w:rPr>
          <w:b/>
          <w:bCs/>
          <w:sz w:val="32"/>
          <w:szCs w:val="36"/>
        </w:rPr>
      </w:pPr>
    </w:p>
    <w:p w14:paraId="7152AEE8" w14:textId="77777777" w:rsidR="00A746EF" w:rsidRPr="00A746EF" w:rsidRDefault="00A746EF">
      <w:pPr>
        <w:spacing w:after="0" w:line="240" w:lineRule="auto"/>
        <w:rPr>
          <w:b/>
          <w:bCs/>
          <w:sz w:val="32"/>
          <w:szCs w:val="36"/>
        </w:rPr>
      </w:pPr>
    </w:p>
    <w:p w14:paraId="67D5A585" w14:textId="77777777" w:rsidR="00A746EF" w:rsidRPr="00A746EF" w:rsidRDefault="00A746EF">
      <w:pPr>
        <w:spacing w:after="0" w:line="240" w:lineRule="auto"/>
        <w:rPr>
          <w:b/>
          <w:bCs/>
          <w:sz w:val="32"/>
          <w:szCs w:val="36"/>
        </w:rPr>
      </w:pPr>
    </w:p>
    <w:p w14:paraId="33CFFBF3" w14:textId="77777777" w:rsidR="00A746EF" w:rsidRPr="00A746EF" w:rsidRDefault="00A746EF">
      <w:pPr>
        <w:spacing w:after="0" w:line="240" w:lineRule="auto"/>
        <w:rPr>
          <w:b/>
          <w:bCs/>
          <w:sz w:val="32"/>
          <w:szCs w:val="36"/>
        </w:rPr>
      </w:pPr>
    </w:p>
    <w:p w14:paraId="4A0F0A10" w14:textId="77777777" w:rsidR="00A746EF" w:rsidRPr="00A746EF" w:rsidRDefault="00A746EF">
      <w:pPr>
        <w:spacing w:after="0" w:line="240" w:lineRule="auto"/>
        <w:rPr>
          <w:b/>
          <w:bCs/>
          <w:sz w:val="32"/>
          <w:szCs w:val="36"/>
        </w:rPr>
      </w:pPr>
    </w:p>
    <w:p w14:paraId="6B3D1E30" w14:textId="77777777" w:rsidR="00A746EF" w:rsidRPr="00A746EF" w:rsidRDefault="00A746EF">
      <w:pPr>
        <w:spacing w:after="0" w:line="240" w:lineRule="auto"/>
        <w:rPr>
          <w:b/>
          <w:bCs/>
          <w:sz w:val="32"/>
          <w:szCs w:val="36"/>
        </w:rPr>
      </w:pPr>
    </w:p>
    <w:p w14:paraId="23823029" w14:textId="77777777" w:rsidR="00A746EF" w:rsidRPr="00A746EF" w:rsidRDefault="00A746EF">
      <w:pPr>
        <w:spacing w:after="0" w:line="240" w:lineRule="auto"/>
        <w:rPr>
          <w:b/>
          <w:bCs/>
          <w:sz w:val="32"/>
          <w:szCs w:val="36"/>
        </w:rPr>
      </w:pPr>
    </w:p>
    <w:p w14:paraId="0CD348DE" w14:textId="77777777" w:rsidR="00A746EF" w:rsidRPr="00A746EF" w:rsidRDefault="00A746EF">
      <w:pPr>
        <w:spacing w:after="0" w:line="240" w:lineRule="auto"/>
        <w:rPr>
          <w:b/>
          <w:bCs/>
          <w:sz w:val="32"/>
          <w:szCs w:val="36"/>
        </w:rPr>
      </w:pPr>
    </w:p>
    <w:p w14:paraId="13302258" w14:textId="38A24444" w:rsidR="00A746EF" w:rsidRPr="00A746EF" w:rsidRDefault="00A746EF">
      <w:pPr>
        <w:spacing w:after="0" w:line="240" w:lineRule="auto"/>
        <w:rPr>
          <w:b/>
          <w:bCs/>
          <w:sz w:val="32"/>
          <w:szCs w:val="36"/>
        </w:rPr>
      </w:pPr>
    </w:p>
    <w:p w14:paraId="4421A451" w14:textId="59A9996E" w:rsidR="00A746EF" w:rsidRPr="00A746EF" w:rsidRDefault="00A746EF">
      <w:pPr>
        <w:spacing w:after="0" w:line="240" w:lineRule="auto"/>
        <w:rPr>
          <w:b/>
          <w:bCs/>
          <w:sz w:val="32"/>
          <w:szCs w:val="36"/>
        </w:rPr>
      </w:pPr>
    </w:p>
    <w:p w14:paraId="5A700147" w14:textId="15EDE55A" w:rsidR="00A746EF" w:rsidRPr="00A746EF" w:rsidRDefault="00A746EF">
      <w:pPr>
        <w:spacing w:after="0" w:line="240" w:lineRule="auto"/>
        <w:rPr>
          <w:b/>
          <w:bCs/>
          <w:sz w:val="32"/>
          <w:szCs w:val="36"/>
        </w:rPr>
      </w:pPr>
    </w:p>
    <w:p w14:paraId="62845807" w14:textId="0A31F670" w:rsidR="00A746EF" w:rsidRPr="00A746EF" w:rsidRDefault="00A746EF">
      <w:pPr>
        <w:spacing w:after="0" w:line="240" w:lineRule="auto"/>
        <w:rPr>
          <w:b/>
          <w:bCs/>
          <w:sz w:val="32"/>
          <w:szCs w:val="36"/>
        </w:rPr>
      </w:pPr>
    </w:p>
    <w:p w14:paraId="39C7DDC3" w14:textId="439348B9" w:rsidR="00A746EF" w:rsidRPr="00A746EF" w:rsidRDefault="00A746EF">
      <w:pPr>
        <w:spacing w:after="0" w:line="240" w:lineRule="auto"/>
        <w:rPr>
          <w:b/>
          <w:bCs/>
          <w:sz w:val="32"/>
          <w:szCs w:val="36"/>
        </w:rPr>
      </w:pPr>
    </w:p>
    <w:p w14:paraId="0459B49B" w14:textId="00725828" w:rsidR="00A746EF" w:rsidRPr="00A746EF" w:rsidRDefault="00A746EF">
      <w:pPr>
        <w:spacing w:after="0" w:line="240" w:lineRule="auto"/>
        <w:rPr>
          <w:b/>
          <w:bCs/>
          <w:sz w:val="32"/>
          <w:szCs w:val="36"/>
        </w:rPr>
      </w:pPr>
    </w:p>
    <w:p w14:paraId="3DACB2B3" w14:textId="25505166" w:rsidR="00A746EF" w:rsidRPr="00A746EF" w:rsidRDefault="00A746EF">
      <w:pPr>
        <w:spacing w:after="0" w:line="240" w:lineRule="auto"/>
        <w:rPr>
          <w:b/>
          <w:bCs/>
          <w:sz w:val="32"/>
          <w:szCs w:val="36"/>
        </w:rPr>
      </w:pPr>
    </w:p>
    <w:p w14:paraId="154F893A" w14:textId="27504160" w:rsidR="00A746EF" w:rsidRPr="00A746EF" w:rsidRDefault="00A746EF">
      <w:pPr>
        <w:spacing w:after="0" w:line="240" w:lineRule="auto"/>
        <w:rPr>
          <w:b/>
          <w:bCs/>
          <w:sz w:val="32"/>
          <w:szCs w:val="36"/>
        </w:rPr>
      </w:pPr>
    </w:p>
    <w:p w14:paraId="4CE8C868" w14:textId="195D1107" w:rsidR="00A746EF" w:rsidRPr="00A746EF" w:rsidRDefault="00A746EF">
      <w:pPr>
        <w:spacing w:after="0" w:line="240" w:lineRule="auto"/>
        <w:rPr>
          <w:b/>
          <w:bCs/>
          <w:sz w:val="32"/>
          <w:szCs w:val="36"/>
        </w:rPr>
      </w:pPr>
    </w:p>
    <w:p w14:paraId="22630BD1" w14:textId="3B148480" w:rsidR="00A746EF" w:rsidRDefault="00A746EF">
      <w:pPr>
        <w:spacing w:after="0" w:line="240" w:lineRule="auto"/>
        <w:rPr>
          <w:b/>
          <w:bCs/>
          <w:sz w:val="32"/>
          <w:szCs w:val="36"/>
        </w:rPr>
      </w:pPr>
    </w:p>
    <w:p w14:paraId="1D2BF54C" w14:textId="3A6E336F" w:rsidR="00A746EF" w:rsidRDefault="00A746EF">
      <w:pPr>
        <w:spacing w:after="0" w:line="240" w:lineRule="auto"/>
        <w:rPr>
          <w:b/>
          <w:bCs/>
          <w:sz w:val="32"/>
          <w:szCs w:val="36"/>
        </w:rPr>
      </w:pPr>
    </w:p>
    <w:p w14:paraId="30B80676" w14:textId="77777777" w:rsidR="00A746EF" w:rsidRPr="00A746EF" w:rsidRDefault="00A746EF">
      <w:pPr>
        <w:spacing w:after="0" w:line="240" w:lineRule="auto"/>
        <w:rPr>
          <w:b/>
          <w:bCs/>
          <w:sz w:val="32"/>
          <w:szCs w:val="36"/>
        </w:rPr>
      </w:pPr>
    </w:p>
    <w:p w14:paraId="3FCE9770" w14:textId="6E0078EE" w:rsidR="00A746EF" w:rsidRPr="00F52DF1" w:rsidRDefault="00A746EF">
      <w:pPr>
        <w:spacing w:after="0" w:line="240" w:lineRule="auto"/>
        <w:rPr>
          <w:b/>
          <w:bCs/>
          <w:sz w:val="32"/>
          <w:szCs w:val="36"/>
        </w:rPr>
      </w:pPr>
      <w:r w:rsidRPr="00F52DF1">
        <w:rPr>
          <w:b/>
          <w:bCs/>
          <w:sz w:val="32"/>
          <w:szCs w:val="36"/>
        </w:rPr>
        <w:t>Christian Koch</w:t>
      </w:r>
      <w:r w:rsidR="00CB358D" w:rsidRPr="00F52DF1">
        <w:rPr>
          <w:b/>
          <w:bCs/>
          <w:sz w:val="32"/>
          <w:szCs w:val="36"/>
        </w:rPr>
        <w:t>,</w:t>
      </w:r>
      <w:r w:rsidR="0040460C" w:rsidRPr="00F52DF1">
        <w:rPr>
          <w:b/>
          <w:bCs/>
          <w:sz w:val="32"/>
          <w:szCs w:val="36"/>
        </w:rPr>
        <w:t xml:space="preserve"> </w:t>
      </w:r>
      <w:r w:rsidRPr="00F52DF1">
        <w:rPr>
          <w:b/>
          <w:bCs/>
          <w:sz w:val="32"/>
          <w:szCs w:val="36"/>
        </w:rPr>
        <w:t>Högskolan i Halmstad</w:t>
      </w:r>
    </w:p>
    <w:p w14:paraId="21F9BD38" w14:textId="232C39F9" w:rsidR="00A746EF" w:rsidRPr="00F52DF1" w:rsidRDefault="00D5569F">
      <w:pPr>
        <w:spacing w:after="0" w:line="240" w:lineRule="auto"/>
        <w:rPr>
          <w:b/>
          <w:bCs/>
          <w:sz w:val="32"/>
          <w:szCs w:val="36"/>
        </w:rPr>
      </w:pPr>
      <w:r w:rsidRPr="00F52DF1">
        <w:rPr>
          <w:b/>
          <w:bCs/>
          <w:sz w:val="32"/>
          <w:szCs w:val="36"/>
        </w:rPr>
        <w:t>Jeaneth Johansson</w:t>
      </w:r>
      <w:r w:rsidR="00CB358D" w:rsidRPr="00F52DF1">
        <w:rPr>
          <w:b/>
          <w:bCs/>
          <w:sz w:val="32"/>
          <w:szCs w:val="36"/>
        </w:rPr>
        <w:t>,</w:t>
      </w:r>
      <w:r w:rsidR="0040460C" w:rsidRPr="00F52DF1">
        <w:rPr>
          <w:b/>
          <w:bCs/>
          <w:sz w:val="32"/>
          <w:szCs w:val="36"/>
        </w:rPr>
        <w:t xml:space="preserve"> </w:t>
      </w:r>
      <w:r w:rsidRPr="00F52DF1">
        <w:rPr>
          <w:b/>
          <w:bCs/>
          <w:sz w:val="32"/>
          <w:szCs w:val="36"/>
        </w:rPr>
        <w:t>Högskolan i Halmstad</w:t>
      </w:r>
    </w:p>
    <w:p w14:paraId="641AE3E8" w14:textId="72B8D481" w:rsidR="00D5569F" w:rsidRPr="00F52DF1" w:rsidRDefault="00D5569F">
      <w:pPr>
        <w:spacing w:after="0" w:line="240" w:lineRule="auto"/>
        <w:rPr>
          <w:b/>
          <w:bCs/>
          <w:sz w:val="32"/>
          <w:szCs w:val="36"/>
        </w:rPr>
      </w:pPr>
      <w:r w:rsidRPr="00F52DF1">
        <w:rPr>
          <w:b/>
          <w:bCs/>
          <w:sz w:val="32"/>
          <w:szCs w:val="36"/>
        </w:rPr>
        <w:t>Lars Jensen</w:t>
      </w:r>
      <w:r w:rsidR="00CB358D" w:rsidRPr="00F52DF1">
        <w:rPr>
          <w:b/>
          <w:bCs/>
          <w:sz w:val="32"/>
          <w:szCs w:val="36"/>
        </w:rPr>
        <w:t>,</w:t>
      </w:r>
      <w:r w:rsidRPr="00F52DF1">
        <w:rPr>
          <w:b/>
          <w:bCs/>
          <w:sz w:val="32"/>
          <w:szCs w:val="36"/>
        </w:rPr>
        <w:t xml:space="preserve"> Ringkøbing</w:t>
      </w:r>
      <w:r w:rsidR="0048735A" w:rsidRPr="00F52DF1">
        <w:rPr>
          <w:b/>
          <w:bCs/>
          <w:sz w:val="32"/>
          <w:szCs w:val="36"/>
        </w:rPr>
        <w:t>-Skjern</w:t>
      </w:r>
      <w:r w:rsidRPr="00F52DF1">
        <w:rPr>
          <w:b/>
          <w:bCs/>
          <w:sz w:val="32"/>
          <w:szCs w:val="36"/>
        </w:rPr>
        <w:t xml:space="preserve"> Kommune</w:t>
      </w:r>
    </w:p>
    <w:p w14:paraId="1B9A266A" w14:textId="03C0717A" w:rsidR="00A746EF" w:rsidRPr="00F52DF1" w:rsidRDefault="00A746EF">
      <w:pPr>
        <w:spacing w:after="0" w:line="240" w:lineRule="auto"/>
        <w:rPr>
          <w:b/>
          <w:bCs/>
          <w:sz w:val="32"/>
          <w:szCs w:val="36"/>
        </w:rPr>
      </w:pPr>
    </w:p>
    <w:p w14:paraId="08CDF4F2" w14:textId="03D4C066" w:rsidR="00A746EF" w:rsidRPr="00D5569F" w:rsidRDefault="002548D2">
      <w:pPr>
        <w:spacing w:after="0" w:line="240" w:lineRule="auto"/>
        <w:rPr>
          <w:b/>
          <w:bCs/>
          <w:sz w:val="32"/>
          <w:szCs w:val="36"/>
          <w:lang w:val="nb-NO"/>
        </w:rPr>
      </w:pPr>
      <w:r>
        <w:rPr>
          <w:b/>
          <w:bCs/>
          <w:sz w:val="32"/>
          <w:szCs w:val="36"/>
          <w:lang w:val="nb-NO"/>
        </w:rPr>
        <w:t>Juni 2022</w:t>
      </w:r>
    </w:p>
    <w:p w14:paraId="28291888" w14:textId="209F1D34" w:rsidR="00A746EF" w:rsidRPr="00D5569F" w:rsidRDefault="00A746EF">
      <w:pPr>
        <w:spacing w:after="0" w:line="240" w:lineRule="auto"/>
        <w:rPr>
          <w:b/>
          <w:bCs/>
          <w:sz w:val="32"/>
          <w:szCs w:val="36"/>
          <w:lang w:val="nb-NO"/>
        </w:rPr>
      </w:pPr>
      <w:r w:rsidRPr="00D5569F">
        <w:rPr>
          <w:b/>
          <w:bCs/>
          <w:sz w:val="32"/>
          <w:szCs w:val="36"/>
          <w:lang w:val="nb-NO"/>
        </w:rPr>
        <w:br w:type="page"/>
      </w:r>
    </w:p>
    <w:p w14:paraId="38EE3BFA" w14:textId="77777777" w:rsidR="00A746EF" w:rsidRPr="00D5569F" w:rsidRDefault="00A746EF">
      <w:pPr>
        <w:spacing w:after="0" w:line="240" w:lineRule="auto"/>
        <w:rPr>
          <w:rFonts w:eastAsia="Times New Roman"/>
          <w:b/>
          <w:bCs/>
          <w:color w:val="000000"/>
          <w:sz w:val="32"/>
          <w:szCs w:val="36"/>
          <w:lang w:val="nb-NO"/>
        </w:rPr>
      </w:pPr>
    </w:p>
    <w:p w14:paraId="53C7C806" w14:textId="466191F4" w:rsidR="00842D43" w:rsidRPr="00DE14A5" w:rsidRDefault="00A11D24" w:rsidP="006037DE">
      <w:pPr>
        <w:pStyle w:val="Overskrift1"/>
        <w:rPr>
          <w:b/>
          <w:bCs/>
          <w:sz w:val="36"/>
          <w:szCs w:val="40"/>
        </w:rPr>
      </w:pPr>
      <w:bookmarkStart w:id="0" w:name="_Toc112184339"/>
      <w:r w:rsidRPr="00DE14A5">
        <w:rPr>
          <w:b/>
          <w:bCs/>
          <w:sz w:val="36"/>
          <w:szCs w:val="40"/>
        </w:rPr>
        <w:t>Executive summary</w:t>
      </w:r>
      <w:r w:rsidR="00857E95" w:rsidRPr="00DE14A5">
        <w:rPr>
          <w:b/>
          <w:bCs/>
          <w:sz w:val="36"/>
          <w:szCs w:val="40"/>
        </w:rPr>
        <w:t xml:space="preserve"> - til politikere</w:t>
      </w:r>
      <w:bookmarkEnd w:id="0"/>
    </w:p>
    <w:p w14:paraId="3EC14374" w14:textId="3A69C578" w:rsidR="00E04892" w:rsidRDefault="00E04892" w:rsidP="00857E95">
      <w:r>
        <w:t>I både Danmark og Sverige har kommunerne en række muligheder for at understøtte udviklingen af erhvervslivet.</w:t>
      </w:r>
      <w:r w:rsidR="0047471A">
        <w:t xml:space="preserve"> En af de store tendenser i erhvervslivet i disse år er en bevægelse i retning af klimaneutralitet og mere bæredygtighed.</w:t>
      </w:r>
      <w:r w:rsidR="0040460C">
        <w:t xml:space="preserve"> </w:t>
      </w:r>
      <w:r w:rsidR="0047471A">
        <w:t xml:space="preserve">Hvor rigtigt mange virksomheder er </w:t>
      </w:r>
      <w:r w:rsidR="00387EE8">
        <w:t xml:space="preserve">i fuld gang med at indarbejde bæredygtighedselementer i deres forretning så viser de indsamlede data i denne analyse at omkring en tredjedel af </w:t>
      </w:r>
      <w:r w:rsidR="00A224AE">
        <w:t xml:space="preserve">alle små og mellemstore virksomheder ikke arbejder med bæredygtighed. </w:t>
      </w:r>
    </w:p>
    <w:p w14:paraId="40F638F7" w14:textId="06C958F3" w:rsidR="00894603" w:rsidRDefault="00A224AE" w:rsidP="00857E95">
      <w:r>
        <w:t xml:space="preserve">Indsatser inden for det kommunale mandat på erhvervsområdet kan tage forskellige strategiske retninger - enten et fokus på de virksomheder som er ”bedst i klassen” </w:t>
      </w:r>
      <w:r w:rsidR="00433F0B">
        <w:t>og stadig flytte grænserne for hvad der er mulighed for at få med ift. bæredygtighed, eller en ”alle skal med”-tilgang hvor fokus er på de virksomheder som endnu ikke er kommet med.</w:t>
      </w:r>
      <w:r w:rsidR="0040460C">
        <w:t xml:space="preserve"> </w:t>
      </w:r>
      <w:r w:rsidR="00433F0B">
        <w:t xml:space="preserve">Baseret på de interviews, der er gennemført med kommunale aktører i forbindelse med denne analyse synes der at være en tendens til at vestsvenske kommune udtrykker </w:t>
      </w:r>
      <w:r w:rsidR="00894603">
        <w:t xml:space="preserve">lidt </w:t>
      </w:r>
      <w:r w:rsidR="00433F0B">
        <w:t>større fokus på at flytte grænserne for hvad der er mulighed fo</w:t>
      </w:r>
      <w:r w:rsidR="00894603">
        <w:t xml:space="preserve">r at få med ift. bæredygtighed, hvor de midtjyske kommunale aktører havde lidt større fokus på at nå bredere ud. </w:t>
      </w:r>
    </w:p>
    <w:p w14:paraId="4BEDF5C1" w14:textId="7F8A7495" w:rsidR="00A224AE" w:rsidRDefault="00894603" w:rsidP="00857E95">
      <w:r>
        <w:t>Det kan skyldes forskellig fokus i bæredygtighedsarbejdet, hvor der kan være potentiale for at skabe merværdi gennem overførsel af viden og praksis over grænsen.</w:t>
      </w:r>
      <w:r w:rsidR="003E6C6B">
        <w:t xml:space="preserve"> </w:t>
      </w:r>
      <w:r>
        <w:t xml:space="preserve">Det kan dog også skyldes, at den nuværende danske lovgivning gør at kommuner lokalt skal fokusere på basale spørgsmål. Mere specialiserede indsatser </w:t>
      </w:r>
      <w:r w:rsidR="0048735A">
        <w:t>anvises i lovgivningen til de tværkommunal</w:t>
      </w:r>
      <w:r>
        <w:t>e Erhvervshuse.</w:t>
      </w:r>
      <w:r w:rsidR="0040460C">
        <w:t xml:space="preserve"> </w:t>
      </w:r>
    </w:p>
    <w:p w14:paraId="41543B74" w14:textId="094409D6" w:rsidR="0056682A" w:rsidRDefault="0048735A" w:rsidP="00857E95">
      <w:r>
        <w:t>Bæredygtighed kan af og til fremstå som et bredt og rummeligt begreb.</w:t>
      </w:r>
      <w:r w:rsidR="0040460C">
        <w:t xml:space="preserve"> </w:t>
      </w:r>
      <w:r>
        <w:t xml:space="preserve">Imidlertid er det ofte enklere for både virksomheder og offentlige erhvervsaktører at arbejde med en mere konkret legitim definition end med et mere bredt, rummeligt begreb. En sådan konkretisering af bæredygtighed har de europæiske lovgivere skabt med </w:t>
      </w:r>
      <w:r w:rsidR="00393917">
        <w:t>d</w:t>
      </w:r>
      <w:r>
        <w:t>en lovgivning</w:t>
      </w:r>
      <w:r w:rsidR="00393917">
        <w:t>spakke</w:t>
      </w:r>
      <w:r w:rsidR="00C40B92">
        <w:t>, der skal hindre ”grønvask” i den finansielle sektor</w:t>
      </w:r>
      <w:r w:rsidR="00393917">
        <w:t xml:space="preserve"> og som omfatter flere EU forordninger og direktiver</w:t>
      </w:r>
      <w:r>
        <w:t xml:space="preserve">. </w:t>
      </w:r>
      <w:r w:rsidR="00C40B92">
        <w:t>”Grønvask” angiver når noget fremstår som bæredygtigt på grønne parametre uden at være det i virkeligheden. Loven definerer seks kategorier af bæredygtighed, og der på basis af loven lavet et opslagsværk, hvor der branche for branche vises konkrete videnskab</w:t>
      </w:r>
      <w:r w:rsidR="002D296F">
        <w:t>e</w:t>
      </w:r>
      <w:r w:rsidR="00C40B92">
        <w:t>ligt baserede parametre og parameterværdier, der angiver om man er bæredygtig eller ej.</w:t>
      </w:r>
      <w:r w:rsidR="0056682A">
        <w:t xml:space="preserve"> Forebyggelse af klimaændringer, blandt andet ved at øge andelen af vedvarende energi ift. total energi, samt cirkulær økonomi er to af de seks kategorier.</w:t>
      </w:r>
    </w:p>
    <w:p w14:paraId="7B8971F4" w14:textId="2397BD54" w:rsidR="0056682A" w:rsidRPr="00CB358D" w:rsidRDefault="00C40B92" w:rsidP="00DE14A5">
      <w:pPr>
        <w:pStyle w:val="Default"/>
      </w:pPr>
      <w:r w:rsidRPr="00CB358D">
        <w:t>Økonomiske aktiviteter, der overholder definitionen</w:t>
      </w:r>
      <w:r w:rsidR="006255C4" w:rsidRPr="00CB358D">
        <w:t>,</w:t>
      </w:r>
      <w:r w:rsidRPr="00CB358D">
        <w:t xml:space="preserve"> kan finansielle aktører kalde ”</w:t>
      </w:r>
      <w:r w:rsidR="00393917" w:rsidRPr="00CB358D">
        <w:t>bæredygtig</w:t>
      </w:r>
      <w:r w:rsidR="009E434A" w:rsidRPr="00CB358D">
        <w:t>e</w:t>
      </w:r>
      <w:r w:rsidRPr="00CB358D">
        <w:t>”</w:t>
      </w:r>
      <w:r w:rsidR="009E434A" w:rsidRPr="00CB358D">
        <w:t>, med en definition</w:t>
      </w:r>
      <w:r w:rsidR="006255C4" w:rsidRPr="00CB358D">
        <w:t>,</w:t>
      </w:r>
      <w:r w:rsidR="009E434A" w:rsidRPr="00CB358D">
        <w:t xml:space="preserve"> der lægger vægt på at modvirke klimaændringer</w:t>
      </w:r>
      <w:r w:rsidRPr="00CB358D">
        <w:t>. I en tid med stor efterspørgsel efter grønne investeringer vil sådanne aktiviteter antageligt få nemmere ved at finansiere sig.</w:t>
      </w:r>
      <w:r w:rsidR="00C8128E" w:rsidRPr="00CB358D">
        <w:t xml:space="preserve"> </w:t>
      </w:r>
      <w:r w:rsidR="006255C4" w:rsidRPr="00CB358D">
        <w:t>Lovgivningen omfatter også styring af banker og andre finansielle institutioners långivning.</w:t>
      </w:r>
      <w:r w:rsidR="0040460C" w:rsidRPr="00CB358D">
        <w:t xml:space="preserve"> </w:t>
      </w:r>
      <w:r w:rsidR="00C8128E" w:rsidRPr="00CB358D">
        <w:t>Det er netop et politiske mål med lovgivningen at den skal være en ”game changer” som bidrager til at realisere flere grønne privatsektorinvesteringer.</w:t>
      </w:r>
      <w:r w:rsidR="0056682A" w:rsidRPr="00CB358D">
        <w:t xml:space="preserve"> Den har allerede effekt ved det at </w:t>
      </w:r>
      <w:r w:rsidR="006255C4" w:rsidRPr="00CB358D">
        <w:t>vi i dette projekt har undersøgt</w:t>
      </w:r>
      <w:r w:rsidR="003E6C6B">
        <w:t xml:space="preserve"> </w:t>
      </w:r>
      <w:r w:rsidR="0056682A" w:rsidRPr="00CB358D">
        <w:t xml:space="preserve">i årsregnskaber for 2021 i danske og vestsvenske </w:t>
      </w:r>
      <w:r w:rsidR="006255C4" w:rsidRPr="00CB358D">
        <w:t xml:space="preserve">børsnoterede </w:t>
      </w:r>
      <w:r w:rsidR="0056682A" w:rsidRPr="00CB358D">
        <w:t>virksomheder</w:t>
      </w:r>
      <w:r w:rsidR="00BA2A51" w:rsidRPr="00CB358D">
        <w:t>:</w:t>
      </w:r>
      <w:r w:rsidR="0056682A" w:rsidRPr="00CB358D">
        <w:t xml:space="preserve"> </w:t>
      </w:r>
      <w:r w:rsidR="00641230" w:rsidRPr="00CB358D">
        <w:t xml:space="preserve">for det første </w:t>
      </w:r>
      <w:r w:rsidR="0056682A" w:rsidRPr="00CB358D">
        <w:t xml:space="preserve">kan </w:t>
      </w:r>
      <w:r w:rsidR="00BA2A51" w:rsidRPr="00CB358D">
        <w:t xml:space="preserve">man </w:t>
      </w:r>
      <w:r w:rsidR="0056682A" w:rsidRPr="00CB358D">
        <w:t>se, at</w:t>
      </w:r>
      <w:r w:rsidR="00641230" w:rsidRPr="00CB358D">
        <w:t xml:space="preserve"> de børsnoterede virksomheder overholder lovgivning</w:t>
      </w:r>
      <w:r w:rsidR="007A467B" w:rsidRPr="00CB358D">
        <w:t>en</w:t>
      </w:r>
      <w:r w:rsidR="0040460C" w:rsidRPr="00CB358D">
        <w:t xml:space="preserve"> </w:t>
      </w:r>
      <w:r w:rsidR="00641230" w:rsidRPr="00CB358D">
        <w:t>og derfor vurderer på skrift i hvor høj de er dækket af</w:t>
      </w:r>
      <w:r w:rsidR="0040460C" w:rsidRPr="00CB358D">
        <w:t xml:space="preserve"> </w:t>
      </w:r>
      <w:r w:rsidR="007A467B" w:rsidRPr="00CB358D">
        <w:t>EUs lovgivning om bæredygtige aktiviteter. For det andet viser vores deskstudie af danske og svensk børsnoterede virksomheder at de er ved at forberede sig til per 1 januar 2023 at på skrift redegøre hvor stor en andel af aktiviteterne</w:t>
      </w:r>
      <w:r w:rsidR="00BA2A51" w:rsidRPr="00CB358D">
        <w:t>,</w:t>
      </w:r>
      <w:r w:rsidR="007A467B" w:rsidRPr="00CB358D">
        <w:t xml:space="preserve"> der er bæredygtige</w:t>
      </w:r>
      <w:r w:rsidR="009E434A" w:rsidRPr="00CB358D">
        <w:t>. Tilsvarende er banker og finansielle institut</w:t>
      </w:r>
      <w:r w:rsidR="00BA2A51" w:rsidRPr="00CB358D">
        <w:t>t</w:t>
      </w:r>
      <w:r w:rsidR="009E434A" w:rsidRPr="00CB358D">
        <w:t xml:space="preserve">er </w:t>
      </w:r>
      <w:r w:rsidR="00BA2A51" w:rsidRPr="00CB358D">
        <w:t>ved at</w:t>
      </w:r>
      <w:r w:rsidR="003E6C6B">
        <w:t xml:space="preserve"> </w:t>
      </w:r>
      <w:r w:rsidR="009E434A" w:rsidRPr="00CB358D">
        <w:t>gør</w:t>
      </w:r>
      <w:r w:rsidR="00BA2A51" w:rsidRPr="00CB358D">
        <w:t>e</w:t>
      </w:r>
      <w:r w:rsidR="009E434A" w:rsidRPr="00CB358D">
        <w:t xml:space="preserve"> sig klar til at redegøre for andelen a</w:t>
      </w:r>
      <w:r w:rsidR="00BA2A51" w:rsidRPr="00CB358D">
        <w:t>f</w:t>
      </w:r>
      <w:r w:rsidR="009E434A" w:rsidRPr="00CB358D">
        <w:t xml:space="preserve"> deres lånebog som er bæredygtig.</w:t>
      </w:r>
      <w:r w:rsidR="007A467B" w:rsidRPr="00CB358D">
        <w:t xml:space="preserve"> </w:t>
      </w:r>
      <w:r w:rsidR="00BA2A51" w:rsidRPr="00CB358D">
        <w:t>Vort deskstudie af årsregnskaber og andet materiale fra bankerne tyder på at de er mere parate end virksomhederne er.</w:t>
      </w:r>
      <w:r w:rsidR="0056682A" w:rsidRPr="00CB358D">
        <w:t xml:space="preserve"> </w:t>
      </w:r>
    </w:p>
    <w:p w14:paraId="6C242298" w14:textId="48D33BA5" w:rsidR="008C5AA3" w:rsidRPr="00CB358D" w:rsidRDefault="00BA2A51" w:rsidP="00857E95">
      <w:bookmarkStart w:id="1" w:name="_Hlk107152277"/>
      <w:r w:rsidRPr="00CB358D">
        <w:t>Når det gælder</w:t>
      </w:r>
      <w:r w:rsidR="00C40B92" w:rsidRPr="00CB358D">
        <w:t xml:space="preserve"> aktører i den kommunale erhvervsfremme i både Vestsverige og Midtjylland</w:t>
      </w:r>
      <w:r w:rsidR="008C5AA3" w:rsidRPr="00CB358D">
        <w:t xml:space="preserve"> </w:t>
      </w:r>
      <w:r w:rsidRPr="00CB358D">
        <w:t xml:space="preserve">viser vores analyse at de </w:t>
      </w:r>
      <w:r w:rsidR="008C5AA3" w:rsidRPr="00CB358D">
        <w:t>i lang tid har arbejdet med de</w:t>
      </w:r>
      <w:r w:rsidR="00C40B92" w:rsidRPr="00CB358D">
        <w:t xml:space="preserve"> </w:t>
      </w:r>
      <w:r w:rsidR="008C5AA3" w:rsidRPr="00CB358D">
        <w:t>kategorier</w:t>
      </w:r>
      <w:r w:rsidR="00C40B92" w:rsidRPr="00CB358D">
        <w:t xml:space="preserve"> </w:t>
      </w:r>
      <w:r w:rsidR="008C5AA3" w:rsidRPr="00CB358D">
        <w:t xml:space="preserve">af bæredygtighed som er defineret i den nye lov. Da undersøgelsen blev lavet </w:t>
      </w:r>
      <w:r w:rsidR="009E434A" w:rsidRPr="00CB358D">
        <w:t>i vinteren og forå</w:t>
      </w:r>
      <w:r w:rsidR="00A60CCD" w:rsidRPr="00CB358D">
        <w:t>r</w:t>
      </w:r>
      <w:r w:rsidR="009E434A" w:rsidRPr="00CB358D">
        <w:t xml:space="preserve">et 2022 </w:t>
      </w:r>
      <w:r w:rsidR="008C5AA3" w:rsidRPr="00CB358D">
        <w:t xml:space="preserve">gjorde de imidlertid ikke koblingen til </w:t>
      </w:r>
      <w:r w:rsidR="008C5AA3" w:rsidRPr="00CB358D">
        <w:lastRenderedPageBreak/>
        <w:t xml:space="preserve">’taksonomien’ som loven </w:t>
      </w:r>
      <w:r w:rsidR="009E434A" w:rsidRPr="00CB358D">
        <w:t>kaldes</w:t>
      </w:r>
      <w:r w:rsidRPr="00CB358D">
        <w:t xml:space="preserve"> og beherskede derfor heller ikke ’taksonomien</w:t>
      </w:r>
      <w:r w:rsidR="008C5AA3" w:rsidRPr="00CB358D">
        <w:t>. Finansielle aktører</w:t>
      </w:r>
      <w:r w:rsidR="00154548" w:rsidRPr="00CB358D">
        <w:t xml:space="preserve"> </w:t>
      </w:r>
      <w:bookmarkEnd w:id="1"/>
      <w:r w:rsidR="00154548" w:rsidRPr="00CB358D">
        <w:t>i Danmark og Sverige</w:t>
      </w:r>
      <w:r w:rsidR="008C5AA3" w:rsidRPr="00CB358D">
        <w:t xml:space="preserve"> derimod bekræfter at de </w:t>
      </w:r>
      <w:r w:rsidR="00A417AC" w:rsidRPr="00CB358D">
        <w:t>har</w:t>
      </w:r>
      <w:r w:rsidR="0040460C" w:rsidRPr="00CB358D">
        <w:t xml:space="preserve"> </w:t>
      </w:r>
      <w:r w:rsidR="008C5AA3" w:rsidRPr="00CB358D">
        <w:t>fokus på</w:t>
      </w:r>
      <w:r w:rsidR="00A417AC" w:rsidRPr="00CB358D">
        <w:t xml:space="preserve"> og bruger ressourcer på </w:t>
      </w:r>
      <w:r w:rsidR="008C5AA3" w:rsidRPr="00CB358D">
        <w:t>’taksonomien’ nu</w:t>
      </w:r>
      <w:r w:rsidR="00A60CCD" w:rsidRPr="00CB358D">
        <w:t xml:space="preserve"> og i varierende grad har gjort det siden 2021</w:t>
      </w:r>
      <w:r w:rsidR="008C5AA3" w:rsidRPr="00CB358D">
        <w:t xml:space="preserve">. Der </w:t>
      </w:r>
      <w:r w:rsidRPr="00CB358D">
        <w:t>er</w:t>
      </w:r>
      <w:r w:rsidR="008C5AA3" w:rsidRPr="00CB358D">
        <w:t xml:space="preserve"> behov for </w:t>
      </w:r>
      <w:r w:rsidRPr="00CB358D">
        <w:t>en grundlæggende</w:t>
      </w:r>
      <w:r w:rsidR="008C5AA3" w:rsidRPr="00CB358D">
        <w:t xml:space="preserve"> indsats for at få kommunikeret til erhvervsfremmeaktører, hvordan kobling</w:t>
      </w:r>
      <w:r w:rsidRPr="00CB358D">
        <w:t>en</w:t>
      </w:r>
      <w:r w:rsidR="008C5AA3" w:rsidRPr="00CB358D">
        <w:t xml:space="preserve"> er mellem taksonomiens kategorisering af bæredygtighed og deres hidtidige bæredygtighedsarbejde, så erhvervsfremmeaktørerne endnu bedre kan understøtte at virksomhederne får adgang til grøn finansiering. </w:t>
      </w:r>
    </w:p>
    <w:p w14:paraId="5DAF99CC" w14:textId="6AA40E3E" w:rsidR="008C5AA3" w:rsidRDefault="008C5AA3" w:rsidP="00857E95">
      <w:r>
        <w:t xml:space="preserve">En sådan indsats kan blandt andet have </w:t>
      </w:r>
      <w:r w:rsidR="00E16546">
        <w:t>flere elementer.</w:t>
      </w:r>
      <w:r>
        <w:t xml:space="preserve"> </w:t>
      </w:r>
      <w:bookmarkStart w:id="2" w:name="_Hlk107154041"/>
      <w:r>
        <w:t>Dels udvikling af et kvalitativt dialogværktøj baseret på bæredygtighedskategorierne i ”anti-Grønvask”-lovgivningen, der kan bruges til i en indledende mere basal dialog med den enkelte virksomhed om bæredygtighed og hvordan man kan komme videre med</w:t>
      </w:r>
      <w:r w:rsidR="00E16546">
        <w:t xml:space="preserve"> bæredygtighedsarbejdet</w:t>
      </w:r>
      <w:r w:rsidR="00D93959">
        <w:t xml:space="preserve"> med den nye systematik fra taksonomien</w:t>
      </w:r>
      <w:r w:rsidR="00E16546">
        <w:t xml:space="preserve">. En anden indsats kan være at </w:t>
      </w:r>
      <w:r w:rsidR="00D93959">
        <w:t>simplificere</w:t>
      </w:r>
      <w:r w:rsidR="00E16546">
        <w:t xml:space="preserve"> det ”taksonomi-kompas”, som Europakommissionen har udviklet ind i de digitale værktøjer som nationale, regionale, decentrale og lokale erhvervsfremmeaktører i KASK-området allerede driver, så viden om denne konkrete bæredygtighedsdefinition kommer ud til virksomhederne.</w:t>
      </w:r>
    </w:p>
    <w:p w14:paraId="234757E2" w14:textId="2528E809" w:rsidR="00C8128E" w:rsidRDefault="00C8128E" w:rsidP="00857E95">
      <w:r>
        <w:t>Der kan også være behov for at virksomhederne kan få rådgivning om grønne forretningsmodeller efter den nye definition. Dette kræver ikke, at virksomhederne lærer om den, men derimod at rådgiverne gør. Der kan være et behov for at udvikle rådgivningsværktøjer ud lovens definition og for at udvikle metoder til at bringe viden om brug af disse værktøjer ud til rådgiverne.</w:t>
      </w:r>
    </w:p>
    <w:p w14:paraId="1A37BA43" w14:textId="31017888" w:rsidR="0048735A" w:rsidRPr="00894603" w:rsidRDefault="00E16546" w:rsidP="00857E95">
      <w:r>
        <w:t>Endelig har analysen vist at finansaktører arbejder meget med taksonomien men stadig fra en compliance-vinkel med at overholde loven, frem for at realisere forretningspotentialet i øget finansiering af grønne økonomiske aktiviteter.</w:t>
      </w:r>
      <w:r w:rsidR="0040460C">
        <w:t xml:space="preserve"> </w:t>
      </w:r>
      <w:r>
        <w:t>Således bruges fx i visse tilfælde et gennemsnitstal for branchen for at vurdere hvorvidt en virksomhed overholder bæredygtighedsdefinitionen i loven. Imidlert</w:t>
      </w:r>
      <w:r w:rsidR="00A417AC">
        <w:t>i</w:t>
      </w:r>
      <w:r>
        <w:t>d fjerner brugen af gennemsnitstal incitamentet fra den enkelte virksomhed til at øge sin grønne andel, fordi man bliver vurderet på et gennemsnitstal og ikke sin egen forbedring. Samtidigt vil finansielle aktører kun kunne øge deres grønne andel ved at trække sig fra brancher med dårlige grønne tal, fremfor at levere grøn finansiering til de virksomheder som rent faktisk omstiller sig i bæredygtig retning.</w:t>
      </w:r>
      <w:r w:rsidR="0040460C">
        <w:t xml:space="preserve"> </w:t>
      </w:r>
      <w:r>
        <w:t>Der synes således at være et behov for en indsats for at realisere forretningspotentialet i den nye ”anti-grønvask”-lov ved at finansielle aktører videreudvikler deres systemer, så de kan håndt</w:t>
      </w:r>
      <w:r w:rsidR="00C8128E">
        <w:t>ere faktiske bæredygtighedst</w:t>
      </w:r>
      <w:r>
        <w:t>al fra de enkelte virksomheder</w:t>
      </w:r>
      <w:r w:rsidR="00C8128E">
        <w:t>.</w:t>
      </w:r>
      <w:r w:rsidR="0040460C">
        <w:t xml:space="preserve"> </w:t>
      </w:r>
      <w:r w:rsidR="00C8128E">
        <w:t>Tal, der meget vel kan stamme fra en rådgiver, der har arbejdet med de rådgivningsværktøjer som også nævnes ovenfor.</w:t>
      </w:r>
    </w:p>
    <w:p w14:paraId="6197CAB3" w14:textId="77777777" w:rsidR="00E04892" w:rsidRPr="00E04892" w:rsidRDefault="00E04892" w:rsidP="00857E95"/>
    <w:bookmarkEnd w:id="2"/>
    <w:p w14:paraId="595D2AB0" w14:textId="228B033E" w:rsidR="00857E95" w:rsidRDefault="00857E95" w:rsidP="00857E95"/>
    <w:p w14:paraId="4A083691" w14:textId="382238BC" w:rsidR="00780DC0" w:rsidRDefault="00780DC0" w:rsidP="00857E95"/>
    <w:p w14:paraId="27BC5B1A" w14:textId="77777777" w:rsidR="000A519F" w:rsidRDefault="000A519F">
      <w:pPr>
        <w:spacing w:after="0" w:line="240" w:lineRule="auto"/>
        <w:rPr>
          <w:b/>
          <w:bCs/>
        </w:rPr>
      </w:pPr>
      <w:r>
        <w:rPr>
          <w:b/>
          <w:bCs/>
        </w:rPr>
        <w:br w:type="page"/>
      </w:r>
    </w:p>
    <w:p w14:paraId="0E4B466A" w14:textId="7447E4E8" w:rsidR="00782F5D" w:rsidRPr="00DE14A5" w:rsidRDefault="00782F5D" w:rsidP="00782F5D">
      <w:pPr>
        <w:pStyle w:val="Indholdsfortegnelse1"/>
        <w:rPr>
          <w:b/>
          <w:bCs/>
          <w:sz w:val="32"/>
          <w:szCs w:val="32"/>
        </w:rPr>
      </w:pPr>
      <w:r w:rsidRPr="00DE14A5">
        <w:rPr>
          <w:b/>
          <w:bCs/>
          <w:sz w:val="32"/>
          <w:szCs w:val="32"/>
        </w:rPr>
        <w:t>Indholdsfortegnelse</w:t>
      </w:r>
    </w:p>
    <w:p w14:paraId="3625E2EF" w14:textId="1047D391" w:rsidR="00BF50C4" w:rsidRDefault="00782F5D">
      <w:pPr>
        <w:pStyle w:val="Indholdsfortegnelse1"/>
        <w:rPr>
          <w:rFonts w:asciiTheme="minorHAnsi" w:eastAsiaTheme="minorEastAsia" w:hAnsiTheme="minorHAnsi" w:cstheme="minorBidi"/>
          <w:noProof/>
        </w:rPr>
      </w:pPr>
      <w:r>
        <w:rPr>
          <w:b/>
          <w:bCs/>
        </w:rPr>
        <w:fldChar w:fldCharType="begin"/>
      </w:r>
      <w:r>
        <w:rPr>
          <w:b/>
          <w:bCs/>
        </w:rPr>
        <w:instrText xml:space="preserve"> TOC \o "1-3" \h \z \u </w:instrText>
      </w:r>
      <w:r>
        <w:rPr>
          <w:b/>
          <w:bCs/>
        </w:rPr>
        <w:fldChar w:fldCharType="separate"/>
      </w:r>
      <w:hyperlink w:anchor="_Toc112184339" w:history="1">
        <w:r w:rsidR="00BF50C4" w:rsidRPr="00394A39">
          <w:rPr>
            <w:rStyle w:val="Hyperlink"/>
            <w:b/>
            <w:bCs/>
            <w:noProof/>
          </w:rPr>
          <w:t>Executive summary - til politikere</w:t>
        </w:r>
        <w:r w:rsidR="00BF50C4">
          <w:rPr>
            <w:noProof/>
            <w:webHidden/>
          </w:rPr>
          <w:tab/>
        </w:r>
        <w:r w:rsidR="00BF50C4">
          <w:rPr>
            <w:noProof/>
            <w:webHidden/>
          </w:rPr>
          <w:fldChar w:fldCharType="begin"/>
        </w:r>
        <w:r w:rsidR="00BF50C4">
          <w:rPr>
            <w:noProof/>
            <w:webHidden/>
          </w:rPr>
          <w:instrText xml:space="preserve"> PAGEREF _Toc112184339 \h </w:instrText>
        </w:r>
        <w:r w:rsidR="00BF50C4">
          <w:rPr>
            <w:noProof/>
            <w:webHidden/>
          </w:rPr>
        </w:r>
        <w:r w:rsidR="00BF50C4">
          <w:rPr>
            <w:noProof/>
            <w:webHidden/>
          </w:rPr>
          <w:fldChar w:fldCharType="separate"/>
        </w:r>
        <w:r w:rsidR="00BF50C4">
          <w:rPr>
            <w:noProof/>
            <w:webHidden/>
          </w:rPr>
          <w:t>2</w:t>
        </w:r>
        <w:r w:rsidR="00BF50C4">
          <w:rPr>
            <w:noProof/>
            <w:webHidden/>
          </w:rPr>
          <w:fldChar w:fldCharType="end"/>
        </w:r>
      </w:hyperlink>
    </w:p>
    <w:p w14:paraId="667FB108" w14:textId="48F41CA6" w:rsidR="00BF50C4" w:rsidRDefault="00F8335F">
      <w:pPr>
        <w:pStyle w:val="Indholdsfortegnelse1"/>
        <w:rPr>
          <w:rFonts w:asciiTheme="minorHAnsi" w:eastAsiaTheme="minorEastAsia" w:hAnsiTheme="minorHAnsi" w:cstheme="minorBidi"/>
          <w:noProof/>
        </w:rPr>
      </w:pPr>
      <w:hyperlink w:anchor="_Toc112184340" w:history="1">
        <w:r w:rsidR="00BF50C4" w:rsidRPr="00394A39">
          <w:rPr>
            <w:rStyle w:val="Hyperlink"/>
            <w:b/>
            <w:bCs/>
            <w:noProof/>
          </w:rPr>
          <w:t>Forord</w:t>
        </w:r>
        <w:r w:rsidR="00BF50C4">
          <w:rPr>
            <w:noProof/>
            <w:webHidden/>
          </w:rPr>
          <w:tab/>
        </w:r>
        <w:r w:rsidR="00BF50C4">
          <w:rPr>
            <w:noProof/>
            <w:webHidden/>
          </w:rPr>
          <w:fldChar w:fldCharType="begin"/>
        </w:r>
        <w:r w:rsidR="00BF50C4">
          <w:rPr>
            <w:noProof/>
            <w:webHidden/>
          </w:rPr>
          <w:instrText xml:space="preserve"> PAGEREF _Toc112184340 \h </w:instrText>
        </w:r>
        <w:r w:rsidR="00BF50C4">
          <w:rPr>
            <w:noProof/>
            <w:webHidden/>
          </w:rPr>
        </w:r>
        <w:r w:rsidR="00BF50C4">
          <w:rPr>
            <w:noProof/>
            <w:webHidden/>
          </w:rPr>
          <w:fldChar w:fldCharType="separate"/>
        </w:r>
        <w:r w:rsidR="00BF50C4">
          <w:rPr>
            <w:noProof/>
            <w:webHidden/>
          </w:rPr>
          <w:t>5</w:t>
        </w:r>
        <w:r w:rsidR="00BF50C4">
          <w:rPr>
            <w:noProof/>
            <w:webHidden/>
          </w:rPr>
          <w:fldChar w:fldCharType="end"/>
        </w:r>
      </w:hyperlink>
    </w:p>
    <w:p w14:paraId="4BB76150" w14:textId="272852DD" w:rsidR="00BF50C4" w:rsidRDefault="00F8335F">
      <w:pPr>
        <w:pStyle w:val="Indholdsfortegnelse1"/>
        <w:rPr>
          <w:rFonts w:asciiTheme="minorHAnsi" w:eastAsiaTheme="minorEastAsia" w:hAnsiTheme="minorHAnsi" w:cstheme="minorBidi"/>
          <w:noProof/>
        </w:rPr>
      </w:pPr>
      <w:hyperlink w:anchor="_Toc112184341" w:history="1">
        <w:r w:rsidR="00BF50C4" w:rsidRPr="00394A39">
          <w:rPr>
            <w:rStyle w:val="Hyperlink"/>
            <w:b/>
            <w:bCs/>
            <w:noProof/>
          </w:rPr>
          <w:t>0. Resume af taxonomiens vigtigste indhold</w:t>
        </w:r>
        <w:r w:rsidR="00BF50C4">
          <w:rPr>
            <w:noProof/>
            <w:webHidden/>
          </w:rPr>
          <w:tab/>
        </w:r>
        <w:r w:rsidR="00BF50C4">
          <w:rPr>
            <w:noProof/>
            <w:webHidden/>
          </w:rPr>
          <w:fldChar w:fldCharType="begin"/>
        </w:r>
        <w:r w:rsidR="00BF50C4">
          <w:rPr>
            <w:noProof/>
            <w:webHidden/>
          </w:rPr>
          <w:instrText xml:space="preserve"> PAGEREF _Toc112184341 \h </w:instrText>
        </w:r>
        <w:r w:rsidR="00BF50C4">
          <w:rPr>
            <w:noProof/>
            <w:webHidden/>
          </w:rPr>
        </w:r>
        <w:r w:rsidR="00BF50C4">
          <w:rPr>
            <w:noProof/>
            <w:webHidden/>
          </w:rPr>
          <w:fldChar w:fldCharType="separate"/>
        </w:r>
        <w:r w:rsidR="00BF50C4">
          <w:rPr>
            <w:noProof/>
            <w:webHidden/>
          </w:rPr>
          <w:t>6</w:t>
        </w:r>
        <w:r w:rsidR="00BF50C4">
          <w:rPr>
            <w:noProof/>
            <w:webHidden/>
          </w:rPr>
          <w:fldChar w:fldCharType="end"/>
        </w:r>
      </w:hyperlink>
    </w:p>
    <w:p w14:paraId="551D18FF" w14:textId="2180E7B9" w:rsidR="00BF50C4" w:rsidRDefault="00F8335F">
      <w:pPr>
        <w:pStyle w:val="Indholdsfortegnelse1"/>
        <w:rPr>
          <w:rFonts w:asciiTheme="minorHAnsi" w:eastAsiaTheme="minorEastAsia" w:hAnsiTheme="minorHAnsi" w:cstheme="minorBidi"/>
          <w:noProof/>
        </w:rPr>
      </w:pPr>
      <w:hyperlink w:anchor="_Toc112184342" w:history="1">
        <w:r w:rsidR="00BF50C4" w:rsidRPr="00394A39">
          <w:rPr>
            <w:rStyle w:val="Hyperlink"/>
            <w:b/>
            <w:bCs/>
            <w:noProof/>
          </w:rPr>
          <w:t>1. Redegørelse</w:t>
        </w:r>
        <w:r w:rsidR="00BF50C4">
          <w:rPr>
            <w:noProof/>
            <w:webHidden/>
          </w:rPr>
          <w:tab/>
        </w:r>
        <w:r w:rsidR="00BF50C4">
          <w:rPr>
            <w:noProof/>
            <w:webHidden/>
          </w:rPr>
          <w:fldChar w:fldCharType="begin"/>
        </w:r>
        <w:r w:rsidR="00BF50C4">
          <w:rPr>
            <w:noProof/>
            <w:webHidden/>
          </w:rPr>
          <w:instrText xml:space="preserve"> PAGEREF _Toc112184342 \h </w:instrText>
        </w:r>
        <w:r w:rsidR="00BF50C4">
          <w:rPr>
            <w:noProof/>
            <w:webHidden/>
          </w:rPr>
        </w:r>
        <w:r w:rsidR="00BF50C4">
          <w:rPr>
            <w:noProof/>
            <w:webHidden/>
          </w:rPr>
          <w:fldChar w:fldCharType="separate"/>
        </w:r>
        <w:r w:rsidR="00BF50C4">
          <w:rPr>
            <w:noProof/>
            <w:webHidden/>
          </w:rPr>
          <w:t>8</w:t>
        </w:r>
        <w:r w:rsidR="00BF50C4">
          <w:rPr>
            <w:noProof/>
            <w:webHidden/>
          </w:rPr>
          <w:fldChar w:fldCharType="end"/>
        </w:r>
      </w:hyperlink>
    </w:p>
    <w:p w14:paraId="5854CDCB" w14:textId="4EB40598" w:rsidR="00BF50C4" w:rsidRDefault="00F8335F">
      <w:pPr>
        <w:pStyle w:val="Indholdsfortegnelse2"/>
        <w:rPr>
          <w:rFonts w:asciiTheme="minorHAnsi" w:eastAsiaTheme="minorEastAsia" w:hAnsiTheme="minorHAnsi" w:cstheme="minorBidi"/>
          <w:noProof/>
        </w:rPr>
      </w:pPr>
      <w:hyperlink w:anchor="_Toc112184343" w:history="1">
        <w:r w:rsidR="00BF50C4" w:rsidRPr="00394A39">
          <w:rPr>
            <w:rStyle w:val="Hyperlink"/>
            <w:b/>
            <w:bCs/>
            <w:noProof/>
          </w:rPr>
          <w:t>1.2 Virksomhedernes arbejde med bæredygtigt og taksonomien (DK)</w:t>
        </w:r>
        <w:r w:rsidR="00BF50C4">
          <w:rPr>
            <w:noProof/>
            <w:webHidden/>
          </w:rPr>
          <w:tab/>
        </w:r>
        <w:r w:rsidR="00BF50C4">
          <w:rPr>
            <w:noProof/>
            <w:webHidden/>
          </w:rPr>
          <w:fldChar w:fldCharType="begin"/>
        </w:r>
        <w:r w:rsidR="00BF50C4">
          <w:rPr>
            <w:noProof/>
            <w:webHidden/>
          </w:rPr>
          <w:instrText xml:space="preserve"> PAGEREF _Toc112184343 \h </w:instrText>
        </w:r>
        <w:r w:rsidR="00BF50C4">
          <w:rPr>
            <w:noProof/>
            <w:webHidden/>
          </w:rPr>
        </w:r>
        <w:r w:rsidR="00BF50C4">
          <w:rPr>
            <w:noProof/>
            <w:webHidden/>
          </w:rPr>
          <w:fldChar w:fldCharType="separate"/>
        </w:r>
        <w:r w:rsidR="00BF50C4">
          <w:rPr>
            <w:noProof/>
            <w:webHidden/>
          </w:rPr>
          <w:t>8</w:t>
        </w:r>
        <w:r w:rsidR="00BF50C4">
          <w:rPr>
            <w:noProof/>
            <w:webHidden/>
          </w:rPr>
          <w:fldChar w:fldCharType="end"/>
        </w:r>
      </w:hyperlink>
    </w:p>
    <w:p w14:paraId="4867D8CF" w14:textId="23849290" w:rsidR="00BF50C4" w:rsidRDefault="00F8335F">
      <w:pPr>
        <w:pStyle w:val="Indholdsfortegnelse3"/>
        <w:tabs>
          <w:tab w:val="right" w:leader="dot" w:pos="9628"/>
        </w:tabs>
        <w:rPr>
          <w:rFonts w:asciiTheme="minorHAnsi" w:eastAsiaTheme="minorEastAsia" w:hAnsiTheme="minorHAnsi" w:cstheme="minorBidi"/>
          <w:noProof/>
        </w:rPr>
      </w:pPr>
      <w:hyperlink w:anchor="_Toc112184344" w:history="1">
        <w:r w:rsidR="00BF50C4" w:rsidRPr="00394A39">
          <w:rPr>
            <w:rStyle w:val="Hyperlink"/>
            <w:noProof/>
          </w:rPr>
          <w:t>1.2.1 Virksomheders arbejde med bæredygtighed -Alle størrelser (DK)</w:t>
        </w:r>
        <w:r w:rsidR="00BF50C4">
          <w:rPr>
            <w:noProof/>
            <w:webHidden/>
          </w:rPr>
          <w:tab/>
        </w:r>
        <w:r w:rsidR="00BF50C4">
          <w:rPr>
            <w:noProof/>
            <w:webHidden/>
          </w:rPr>
          <w:fldChar w:fldCharType="begin"/>
        </w:r>
        <w:r w:rsidR="00BF50C4">
          <w:rPr>
            <w:noProof/>
            <w:webHidden/>
          </w:rPr>
          <w:instrText xml:space="preserve"> PAGEREF _Toc112184344 \h </w:instrText>
        </w:r>
        <w:r w:rsidR="00BF50C4">
          <w:rPr>
            <w:noProof/>
            <w:webHidden/>
          </w:rPr>
        </w:r>
        <w:r w:rsidR="00BF50C4">
          <w:rPr>
            <w:noProof/>
            <w:webHidden/>
          </w:rPr>
          <w:fldChar w:fldCharType="separate"/>
        </w:r>
        <w:r w:rsidR="00BF50C4">
          <w:rPr>
            <w:noProof/>
            <w:webHidden/>
          </w:rPr>
          <w:t>8</w:t>
        </w:r>
        <w:r w:rsidR="00BF50C4">
          <w:rPr>
            <w:noProof/>
            <w:webHidden/>
          </w:rPr>
          <w:fldChar w:fldCharType="end"/>
        </w:r>
      </w:hyperlink>
    </w:p>
    <w:p w14:paraId="52F564E6" w14:textId="2E1606EB" w:rsidR="00BF50C4" w:rsidRDefault="00F8335F">
      <w:pPr>
        <w:pStyle w:val="Indholdsfortegnelse3"/>
        <w:tabs>
          <w:tab w:val="right" w:leader="dot" w:pos="9628"/>
        </w:tabs>
        <w:rPr>
          <w:rFonts w:asciiTheme="minorHAnsi" w:eastAsiaTheme="minorEastAsia" w:hAnsiTheme="minorHAnsi" w:cstheme="minorBidi"/>
          <w:noProof/>
        </w:rPr>
      </w:pPr>
      <w:hyperlink w:anchor="_Toc112184345" w:history="1">
        <w:r w:rsidR="00BF50C4" w:rsidRPr="00394A39">
          <w:rPr>
            <w:rStyle w:val="Hyperlink"/>
            <w:noProof/>
          </w:rPr>
          <w:t>1.2.2 Store virksomheders arbejde med EU-lovpakken (DK)</w:t>
        </w:r>
        <w:r w:rsidR="00BF50C4">
          <w:rPr>
            <w:noProof/>
            <w:webHidden/>
          </w:rPr>
          <w:tab/>
        </w:r>
        <w:r w:rsidR="00BF50C4">
          <w:rPr>
            <w:noProof/>
            <w:webHidden/>
          </w:rPr>
          <w:fldChar w:fldCharType="begin"/>
        </w:r>
        <w:r w:rsidR="00BF50C4">
          <w:rPr>
            <w:noProof/>
            <w:webHidden/>
          </w:rPr>
          <w:instrText xml:space="preserve"> PAGEREF _Toc112184345 \h </w:instrText>
        </w:r>
        <w:r w:rsidR="00BF50C4">
          <w:rPr>
            <w:noProof/>
            <w:webHidden/>
          </w:rPr>
        </w:r>
        <w:r w:rsidR="00BF50C4">
          <w:rPr>
            <w:noProof/>
            <w:webHidden/>
          </w:rPr>
          <w:fldChar w:fldCharType="separate"/>
        </w:r>
        <w:r w:rsidR="00BF50C4">
          <w:rPr>
            <w:noProof/>
            <w:webHidden/>
          </w:rPr>
          <w:t>12</w:t>
        </w:r>
        <w:r w:rsidR="00BF50C4">
          <w:rPr>
            <w:noProof/>
            <w:webHidden/>
          </w:rPr>
          <w:fldChar w:fldCharType="end"/>
        </w:r>
      </w:hyperlink>
    </w:p>
    <w:p w14:paraId="2B2CB462" w14:textId="739928E7" w:rsidR="00BF50C4" w:rsidRDefault="00F8335F">
      <w:pPr>
        <w:pStyle w:val="Indholdsfortegnelse2"/>
        <w:rPr>
          <w:rFonts w:asciiTheme="minorHAnsi" w:eastAsiaTheme="minorEastAsia" w:hAnsiTheme="minorHAnsi" w:cstheme="minorBidi"/>
          <w:noProof/>
        </w:rPr>
      </w:pPr>
      <w:hyperlink w:anchor="_Toc112184346" w:history="1">
        <w:r w:rsidR="00BF50C4" w:rsidRPr="00394A39">
          <w:rPr>
            <w:rStyle w:val="Hyperlink"/>
            <w:b/>
            <w:bCs/>
            <w:noProof/>
          </w:rPr>
          <w:t>1.3 Virksomheders arbejde med bæredygtighed  (SE)</w:t>
        </w:r>
        <w:r w:rsidR="00BF50C4">
          <w:rPr>
            <w:noProof/>
            <w:webHidden/>
          </w:rPr>
          <w:tab/>
        </w:r>
        <w:r w:rsidR="00BF50C4">
          <w:rPr>
            <w:noProof/>
            <w:webHidden/>
          </w:rPr>
          <w:fldChar w:fldCharType="begin"/>
        </w:r>
        <w:r w:rsidR="00BF50C4">
          <w:rPr>
            <w:noProof/>
            <w:webHidden/>
          </w:rPr>
          <w:instrText xml:space="preserve"> PAGEREF _Toc112184346 \h </w:instrText>
        </w:r>
        <w:r w:rsidR="00BF50C4">
          <w:rPr>
            <w:noProof/>
            <w:webHidden/>
          </w:rPr>
        </w:r>
        <w:r w:rsidR="00BF50C4">
          <w:rPr>
            <w:noProof/>
            <w:webHidden/>
          </w:rPr>
          <w:fldChar w:fldCharType="separate"/>
        </w:r>
        <w:r w:rsidR="00BF50C4">
          <w:rPr>
            <w:noProof/>
            <w:webHidden/>
          </w:rPr>
          <w:t>13</w:t>
        </w:r>
        <w:r w:rsidR="00BF50C4">
          <w:rPr>
            <w:noProof/>
            <w:webHidden/>
          </w:rPr>
          <w:fldChar w:fldCharType="end"/>
        </w:r>
      </w:hyperlink>
    </w:p>
    <w:p w14:paraId="6D10CB7F" w14:textId="2BDDAFDF" w:rsidR="00BF50C4" w:rsidRDefault="00F8335F">
      <w:pPr>
        <w:pStyle w:val="Indholdsfortegnelse3"/>
        <w:tabs>
          <w:tab w:val="right" w:leader="dot" w:pos="9628"/>
        </w:tabs>
        <w:rPr>
          <w:rFonts w:asciiTheme="minorHAnsi" w:eastAsiaTheme="minorEastAsia" w:hAnsiTheme="minorHAnsi" w:cstheme="minorBidi"/>
          <w:noProof/>
        </w:rPr>
      </w:pPr>
      <w:hyperlink w:anchor="_Toc112184347" w:history="1">
        <w:r w:rsidR="00BF50C4" w:rsidRPr="00394A39">
          <w:rPr>
            <w:rStyle w:val="Hyperlink"/>
            <w:noProof/>
          </w:rPr>
          <w:t>1.3.1 Virksomheders arbejde med bæredygtighed -alle størrelser (SE)</w:t>
        </w:r>
        <w:r w:rsidR="00BF50C4">
          <w:rPr>
            <w:noProof/>
            <w:webHidden/>
          </w:rPr>
          <w:tab/>
        </w:r>
        <w:r w:rsidR="00BF50C4">
          <w:rPr>
            <w:noProof/>
            <w:webHidden/>
          </w:rPr>
          <w:fldChar w:fldCharType="begin"/>
        </w:r>
        <w:r w:rsidR="00BF50C4">
          <w:rPr>
            <w:noProof/>
            <w:webHidden/>
          </w:rPr>
          <w:instrText xml:space="preserve"> PAGEREF _Toc112184347 \h </w:instrText>
        </w:r>
        <w:r w:rsidR="00BF50C4">
          <w:rPr>
            <w:noProof/>
            <w:webHidden/>
          </w:rPr>
        </w:r>
        <w:r w:rsidR="00BF50C4">
          <w:rPr>
            <w:noProof/>
            <w:webHidden/>
          </w:rPr>
          <w:fldChar w:fldCharType="separate"/>
        </w:r>
        <w:r w:rsidR="00BF50C4">
          <w:rPr>
            <w:noProof/>
            <w:webHidden/>
          </w:rPr>
          <w:t>13</w:t>
        </w:r>
        <w:r w:rsidR="00BF50C4">
          <w:rPr>
            <w:noProof/>
            <w:webHidden/>
          </w:rPr>
          <w:fldChar w:fldCharType="end"/>
        </w:r>
      </w:hyperlink>
    </w:p>
    <w:p w14:paraId="385BB44F" w14:textId="1BF44BE5" w:rsidR="00BF50C4" w:rsidRDefault="00F8335F">
      <w:pPr>
        <w:pStyle w:val="Indholdsfortegnelse3"/>
        <w:tabs>
          <w:tab w:val="right" w:leader="dot" w:pos="9628"/>
        </w:tabs>
        <w:rPr>
          <w:rFonts w:asciiTheme="minorHAnsi" w:eastAsiaTheme="minorEastAsia" w:hAnsiTheme="minorHAnsi" w:cstheme="minorBidi"/>
          <w:noProof/>
        </w:rPr>
      </w:pPr>
      <w:hyperlink w:anchor="_Toc112184348" w:history="1">
        <w:r w:rsidR="00BF50C4" w:rsidRPr="00394A39">
          <w:rPr>
            <w:rStyle w:val="Hyperlink"/>
            <w:noProof/>
          </w:rPr>
          <w:t>1.3.1 Store virksomheders arbejde med EU-lovpakken (SE)</w:t>
        </w:r>
        <w:r w:rsidR="00BF50C4">
          <w:rPr>
            <w:noProof/>
            <w:webHidden/>
          </w:rPr>
          <w:tab/>
        </w:r>
        <w:r w:rsidR="00BF50C4">
          <w:rPr>
            <w:noProof/>
            <w:webHidden/>
          </w:rPr>
          <w:fldChar w:fldCharType="begin"/>
        </w:r>
        <w:r w:rsidR="00BF50C4">
          <w:rPr>
            <w:noProof/>
            <w:webHidden/>
          </w:rPr>
          <w:instrText xml:space="preserve"> PAGEREF _Toc112184348 \h </w:instrText>
        </w:r>
        <w:r w:rsidR="00BF50C4">
          <w:rPr>
            <w:noProof/>
            <w:webHidden/>
          </w:rPr>
        </w:r>
        <w:r w:rsidR="00BF50C4">
          <w:rPr>
            <w:noProof/>
            <w:webHidden/>
          </w:rPr>
          <w:fldChar w:fldCharType="separate"/>
        </w:r>
        <w:r w:rsidR="00BF50C4">
          <w:rPr>
            <w:noProof/>
            <w:webHidden/>
          </w:rPr>
          <w:t>13</w:t>
        </w:r>
        <w:r w:rsidR="00BF50C4">
          <w:rPr>
            <w:noProof/>
            <w:webHidden/>
          </w:rPr>
          <w:fldChar w:fldCharType="end"/>
        </w:r>
      </w:hyperlink>
    </w:p>
    <w:p w14:paraId="31210734" w14:textId="5ED86005" w:rsidR="00BF50C4" w:rsidRDefault="00F8335F">
      <w:pPr>
        <w:pStyle w:val="Indholdsfortegnelse2"/>
        <w:rPr>
          <w:rFonts w:asciiTheme="minorHAnsi" w:eastAsiaTheme="minorEastAsia" w:hAnsiTheme="minorHAnsi" w:cstheme="minorBidi"/>
          <w:noProof/>
        </w:rPr>
      </w:pPr>
      <w:hyperlink w:anchor="_Toc112184349" w:history="1">
        <w:r w:rsidR="00BF50C4" w:rsidRPr="00394A39">
          <w:rPr>
            <w:rStyle w:val="Hyperlink"/>
            <w:b/>
            <w:bCs/>
            <w:noProof/>
          </w:rPr>
          <w:t>1</w:t>
        </w:r>
        <w:r w:rsidR="00BF50C4" w:rsidRPr="00394A39">
          <w:rPr>
            <w:rStyle w:val="Hyperlink"/>
            <w:b/>
            <w:noProof/>
          </w:rPr>
          <w:t>.3.2 CASE: Platzer</w:t>
        </w:r>
        <w:r w:rsidR="00BF50C4">
          <w:rPr>
            <w:noProof/>
            <w:webHidden/>
          </w:rPr>
          <w:tab/>
        </w:r>
        <w:r w:rsidR="00BF50C4">
          <w:rPr>
            <w:noProof/>
            <w:webHidden/>
          </w:rPr>
          <w:fldChar w:fldCharType="begin"/>
        </w:r>
        <w:r w:rsidR="00BF50C4">
          <w:rPr>
            <w:noProof/>
            <w:webHidden/>
          </w:rPr>
          <w:instrText xml:space="preserve"> PAGEREF _Toc112184349 \h </w:instrText>
        </w:r>
        <w:r w:rsidR="00BF50C4">
          <w:rPr>
            <w:noProof/>
            <w:webHidden/>
          </w:rPr>
        </w:r>
        <w:r w:rsidR="00BF50C4">
          <w:rPr>
            <w:noProof/>
            <w:webHidden/>
          </w:rPr>
          <w:fldChar w:fldCharType="separate"/>
        </w:r>
        <w:r w:rsidR="00BF50C4">
          <w:rPr>
            <w:noProof/>
            <w:webHidden/>
          </w:rPr>
          <w:t>16</w:t>
        </w:r>
        <w:r w:rsidR="00BF50C4">
          <w:rPr>
            <w:noProof/>
            <w:webHidden/>
          </w:rPr>
          <w:fldChar w:fldCharType="end"/>
        </w:r>
      </w:hyperlink>
    </w:p>
    <w:p w14:paraId="5B1E1AD3" w14:textId="2428F7CC" w:rsidR="00BF50C4" w:rsidRDefault="00F8335F">
      <w:pPr>
        <w:pStyle w:val="Indholdsfortegnelse3"/>
        <w:tabs>
          <w:tab w:val="right" w:leader="dot" w:pos="9628"/>
        </w:tabs>
        <w:rPr>
          <w:rFonts w:asciiTheme="minorHAnsi" w:eastAsiaTheme="minorEastAsia" w:hAnsiTheme="minorHAnsi" w:cstheme="minorBidi"/>
          <w:noProof/>
        </w:rPr>
      </w:pPr>
      <w:hyperlink w:anchor="_Toc112184350" w:history="1">
        <w:r w:rsidR="00BF50C4" w:rsidRPr="00394A39">
          <w:rPr>
            <w:rStyle w:val="Hyperlink"/>
            <w:noProof/>
          </w:rPr>
          <w:t>1.3.3 Byggebranchens arbejde med EU lovpakken (SE)</w:t>
        </w:r>
        <w:r w:rsidR="00BF50C4">
          <w:rPr>
            <w:noProof/>
            <w:webHidden/>
          </w:rPr>
          <w:tab/>
        </w:r>
        <w:r w:rsidR="00BF50C4">
          <w:rPr>
            <w:noProof/>
            <w:webHidden/>
          </w:rPr>
          <w:fldChar w:fldCharType="begin"/>
        </w:r>
        <w:r w:rsidR="00BF50C4">
          <w:rPr>
            <w:noProof/>
            <w:webHidden/>
          </w:rPr>
          <w:instrText xml:space="preserve"> PAGEREF _Toc112184350 \h </w:instrText>
        </w:r>
        <w:r w:rsidR="00BF50C4">
          <w:rPr>
            <w:noProof/>
            <w:webHidden/>
          </w:rPr>
        </w:r>
        <w:r w:rsidR="00BF50C4">
          <w:rPr>
            <w:noProof/>
            <w:webHidden/>
          </w:rPr>
          <w:fldChar w:fldCharType="separate"/>
        </w:r>
        <w:r w:rsidR="00BF50C4">
          <w:rPr>
            <w:noProof/>
            <w:webHidden/>
          </w:rPr>
          <w:t>17</w:t>
        </w:r>
        <w:r w:rsidR="00BF50C4">
          <w:rPr>
            <w:noProof/>
            <w:webHidden/>
          </w:rPr>
          <w:fldChar w:fldCharType="end"/>
        </w:r>
      </w:hyperlink>
    </w:p>
    <w:p w14:paraId="2CF7EEB0" w14:textId="76A3B279" w:rsidR="00BF50C4" w:rsidRDefault="00F8335F">
      <w:pPr>
        <w:pStyle w:val="Indholdsfortegnelse2"/>
        <w:rPr>
          <w:rFonts w:asciiTheme="minorHAnsi" w:eastAsiaTheme="minorEastAsia" w:hAnsiTheme="minorHAnsi" w:cstheme="minorBidi"/>
          <w:noProof/>
        </w:rPr>
      </w:pPr>
      <w:hyperlink w:anchor="_Toc112184351" w:history="1">
        <w:r w:rsidR="00BF50C4" w:rsidRPr="00394A39">
          <w:rPr>
            <w:rStyle w:val="Hyperlink"/>
            <w:b/>
            <w:bCs/>
            <w:noProof/>
          </w:rPr>
          <w:t>1.3.3 Case: Wästbygg</w:t>
        </w:r>
        <w:r w:rsidR="00BF50C4">
          <w:rPr>
            <w:noProof/>
            <w:webHidden/>
          </w:rPr>
          <w:tab/>
        </w:r>
        <w:r w:rsidR="00BF50C4">
          <w:rPr>
            <w:noProof/>
            <w:webHidden/>
          </w:rPr>
          <w:fldChar w:fldCharType="begin"/>
        </w:r>
        <w:r w:rsidR="00BF50C4">
          <w:rPr>
            <w:noProof/>
            <w:webHidden/>
          </w:rPr>
          <w:instrText xml:space="preserve"> PAGEREF _Toc112184351 \h </w:instrText>
        </w:r>
        <w:r w:rsidR="00BF50C4">
          <w:rPr>
            <w:noProof/>
            <w:webHidden/>
          </w:rPr>
        </w:r>
        <w:r w:rsidR="00BF50C4">
          <w:rPr>
            <w:noProof/>
            <w:webHidden/>
          </w:rPr>
          <w:fldChar w:fldCharType="separate"/>
        </w:r>
        <w:r w:rsidR="00BF50C4">
          <w:rPr>
            <w:noProof/>
            <w:webHidden/>
          </w:rPr>
          <w:t>20</w:t>
        </w:r>
        <w:r w:rsidR="00BF50C4">
          <w:rPr>
            <w:noProof/>
            <w:webHidden/>
          </w:rPr>
          <w:fldChar w:fldCharType="end"/>
        </w:r>
      </w:hyperlink>
    </w:p>
    <w:p w14:paraId="3E8CAE34" w14:textId="577CBFA7" w:rsidR="00BF50C4" w:rsidRDefault="00F8335F">
      <w:pPr>
        <w:pStyle w:val="Indholdsfortegnelse2"/>
        <w:rPr>
          <w:rFonts w:asciiTheme="minorHAnsi" w:eastAsiaTheme="minorEastAsia" w:hAnsiTheme="minorHAnsi" w:cstheme="minorBidi"/>
          <w:noProof/>
        </w:rPr>
      </w:pPr>
      <w:hyperlink w:anchor="_Toc112184352" w:history="1">
        <w:r w:rsidR="00BF50C4" w:rsidRPr="00394A39">
          <w:rPr>
            <w:rStyle w:val="Hyperlink"/>
            <w:b/>
            <w:bCs/>
            <w:noProof/>
          </w:rPr>
          <w:t>1.4 Finanssektoren</w:t>
        </w:r>
        <w:r w:rsidR="00BF50C4">
          <w:rPr>
            <w:noProof/>
            <w:webHidden/>
          </w:rPr>
          <w:tab/>
        </w:r>
        <w:r w:rsidR="00BF50C4">
          <w:rPr>
            <w:noProof/>
            <w:webHidden/>
          </w:rPr>
          <w:fldChar w:fldCharType="begin"/>
        </w:r>
        <w:r w:rsidR="00BF50C4">
          <w:rPr>
            <w:noProof/>
            <w:webHidden/>
          </w:rPr>
          <w:instrText xml:space="preserve"> PAGEREF _Toc112184352 \h </w:instrText>
        </w:r>
        <w:r w:rsidR="00BF50C4">
          <w:rPr>
            <w:noProof/>
            <w:webHidden/>
          </w:rPr>
        </w:r>
        <w:r w:rsidR="00BF50C4">
          <w:rPr>
            <w:noProof/>
            <w:webHidden/>
          </w:rPr>
          <w:fldChar w:fldCharType="separate"/>
        </w:r>
        <w:r w:rsidR="00BF50C4">
          <w:rPr>
            <w:noProof/>
            <w:webHidden/>
          </w:rPr>
          <w:t>21</w:t>
        </w:r>
        <w:r w:rsidR="00BF50C4">
          <w:rPr>
            <w:noProof/>
            <w:webHidden/>
          </w:rPr>
          <w:fldChar w:fldCharType="end"/>
        </w:r>
      </w:hyperlink>
    </w:p>
    <w:p w14:paraId="3603D9AE" w14:textId="6562704C" w:rsidR="00BF50C4" w:rsidRDefault="00F8335F">
      <w:pPr>
        <w:pStyle w:val="Indholdsfortegnelse3"/>
        <w:tabs>
          <w:tab w:val="right" w:leader="dot" w:pos="9628"/>
        </w:tabs>
        <w:rPr>
          <w:rFonts w:asciiTheme="minorHAnsi" w:eastAsiaTheme="minorEastAsia" w:hAnsiTheme="minorHAnsi" w:cstheme="minorBidi"/>
          <w:noProof/>
        </w:rPr>
      </w:pPr>
      <w:hyperlink w:anchor="_Toc112184353" w:history="1">
        <w:r w:rsidR="00BF50C4" w:rsidRPr="00394A39">
          <w:rPr>
            <w:rStyle w:val="Hyperlink"/>
            <w:noProof/>
          </w:rPr>
          <w:t>1.4.1 Finanssektorens (DK) tolkning af EU lovpakken inkl ’grøn’ (’taksonomi’)</w:t>
        </w:r>
        <w:r w:rsidR="00BF50C4">
          <w:rPr>
            <w:noProof/>
            <w:webHidden/>
          </w:rPr>
          <w:tab/>
        </w:r>
        <w:r w:rsidR="00BF50C4">
          <w:rPr>
            <w:noProof/>
            <w:webHidden/>
          </w:rPr>
          <w:fldChar w:fldCharType="begin"/>
        </w:r>
        <w:r w:rsidR="00BF50C4">
          <w:rPr>
            <w:noProof/>
            <w:webHidden/>
          </w:rPr>
          <w:instrText xml:space="preserve"> PAGEREF _Toc112184353 \h </w:instrText>
        </w:r>
        <w:r w:rsidR="00BF50C4">
          <w:rPr>
            <w:noProof/>
            <w:webHidden/>
          </w:rPr>
        </w:r>
        <w:r w:rsidR="00BF50C4">
          <w:rPr>
            <w:noProof/>
            <w:webHidden/>
          </w:rPr>
          <w:fldChar w:fldCharType="separate"/>
        </w:r>
        <w:r w:rsidR="00BF50C4">
          <w:rPr>
            <w:noProof/>
            <w:webHidden/>
          </w:rPr>
          <w:t>21</w:t>
        </w:r>
        <w:r w:rsidR="00BF50C4">
          <w:rPr>
            <w:noProof/>
            <w:webHidden/>
          </w:rPr>
          <w:fldChar w:fldCharType="end"/>
        </w:r>
      </w:hyperlink>
    </w:p>
    <w:p w14:paraId="4CC2CB6A" w14:textId="3B776816" w:rsidR="00BF50C4" w:rsidRDefault="00F8335F">
      <w:pPr>
        <w:pStyle w:val="Indholdsfortegnelse3"/>
        <w:tabs>
          <w:tab w:val="right" w:leader="dot" w:pos="9628"/>
        </w:tabs>
        <w:rPr>
          <w:rFonts w:asciiTheme="minorHAnsi" w:eastAsiaTheme="minorEastAsia" w:hAnsiTheme="minorHAnsi" w:cstheme="minorBidi"/>
          <w:noProof/>
        </w:rPr>
      </w:pPr>
      <w:hyperlink w:anchor="_Toc112184354" w:history="1">
        <w:r w:rsidR="00BF50C4" w:rsidRPr="00394A39">
          <w:rPr>
            <w:rStyle w:val="Hyperlink"/>
            <w:noProof/>
          </w:rPr>
          <w:t>1.4.2 Finanssektorens (SE) tolkning af EU lovpakken inkl ’grøn’ (’taksonomi’)</w:t>
        </w:r>
        <w:r w:rsidR="00BF50C4">
          <w:rPr>
            <w:noProof/>
            <w:webHidden/>
          </w:rPr>
          <w:tab/>
        </w:r>
        <w:r w:rsidR="00BF50C4">
          <w:rPr>
            <w:noProof/>
            <w:webHidden/>
          </w:rPr>
          <w:fldChar w:fldCharType="begin"/>
        </w:r>
        <w:r w:rsidR="00BF50C4">
          <w:rPr>
            <w:noProof/>
            <w:webHidden/>
          </w:rPr>
          <w:instrText xml:space="preserve"> PAGEREF _Toc112184354 \h </w:instrText>
        </w:r>
        <w:r w:rsidR="00BF50C4">
          <w:rPr>
            <w:noProof/>
            <w:webHidden/>
          </w:rPr>
        </w:r>
        <w:r w:rsidR="00BF50C4">
          <w:rPr>
            <w:noProof/>
            <w:webHidden/>
          </w:rPr>
          <w:fldChar w:fldCharType="separate"/>
        </w:r>
        <w:r w:rsidR="00BF50C4">
          <w:rPr>
            <w:noProof/>
            <w:webHidden/>
          </w:rPr>
          <w:t>22</w:t>
        </w:r>
        <w:r w:rsidR="00BF50C4">
          <w:rPr>
            <w:noProof/>
            <w:webHidden/>
          </w:rPr>
          <w:fldChar w:fldCharType="end"/>
        </w:r>
      </w:hyperlink>
    </w:p>
    <w:p w14:paraId="68028E3A" w14:textId="5BC43D7D" w:rsidR="00BF50C4" w:rsidRDefault="00F8335F">
      <w:pPr>
        <w:pStyle w:val="Indholdsfortegnelse2"/>
        <w:rPr>
          <w:rFonts w:asciiTheme="minorHAnsi" w:eastAsiaTheme="minorEastAsia" w:hAnsiTheme="minorHAnsi" w:cstheme="minorBidi"/>
          <w:noProof/>
        </w:rPr>
      </w:pPr>
      <w:hyperlink w:anchor="_Toc112184355" w:history="1">
        <w:r w:rsidR="00BF50C4" w:rsidRPr="00394A39">
          <w:rPr>
            <w:rStyle w:val="Hyperlink"/>
            <w:b/>
            <w:bCs/>
            <w:noProof/>
          </w:rPr>
          <w:t>2.1 Kommuner</w:t>
        </w:r>
        <w:r w:rsidR="00BF50C4">
          <w:rPr>
            <w:noProof/>
            <w:webHidden/>
          </w:rPr>
          <w:tab/>
        </w:r>
        <w:r w:rsidR="00BF50C4">
          <w:rPr>
            <w:noProof/>
            <w:webHidden/>
          </w:rPr>
          <w:fldChar w:fldCharType="begin"/>
        </w:r>
        <w:r w:rsidR="00BF50C4">
          <w:rPr>
            <w:noProof/>
            <w:webHidden/>
          </w:rPr>
          <w:instrText xml:space="preserve"> PAGEREF _Toc112184355 \h </w:instrText>
        </w:r>
        <w:r w:rsidR="00BF50C4">
          <w:rPr>
            <w:noProof/>
            <w:webHidden/>
          </w:rPr>
        </w:r>
        <w:r w:rsidR="00BF50C4">
          <w:rPr>
            <w:noProof/>
            <w:webHidden/>
          </w:rPr>
          <w:fldChar w:fldCharType="separate"/>
        </w:r>
        <w:r w:rsidR="00BF50C4">
          <w:rPr>
            <w:noProof/>
            <w:webHidden/>
          </w:rPr>
          <w:t>22</w:t>
        </w:r>
        <w:r w:rsidR="00BF50C4">
          <w:rPr>
            <w:noProof/>
            <w:webHidden/>
          </w:rPr>
          <w:fldChar w:fldCharType="end"/>
        </w:r>
      </w:hyperlink>
    </w:p>
    <w:p w14:paraId="4517366A" w14:textId="1C8EDF93" w:rsidR="00BF50C4" w:rsidRDefault="00F8335F">
      <w:pPr>
        <w:pStyle w:val="Indholdsfortegnelse2"/>
        <w:rPr>
          <w:rFonts w:asciiTheme="minorHAnsi" w:eastAsiaTheme="minorEastAsia" w:hAnsiTheme="minorHAnsi" w:cstheme="minorBidi"/>
          <w:noProof/>
        </w:rPr>
      </w:pPr>
      <w:hyperlink w:anchor="_Toc112184356" w:history="1">
        <w:r w:rsidR="00BF50C4" w:rsidRPr="00394A39">
          <w:rPr>
            <w:rStyle w:val="Hyperlink"/>
            <w:b/>
            <w:bCs/>
            <w:noProof/>
          </w:rPr>
          <w:t>2.1.1 Kommuners erhvervsudviklingsarbejde med bæredygtighed (DK)</w:t>
        </w:r>
        <w:r w:rsidR="00BF50C4">
          <w:rPr>
            <w:noProof/>
            <w:webHidden/>
          </w:rPr>
          <w:tab/>
        </w:r>
        <w:r w:rsidR="00BF50C4">
          <w:rPr>
            <w:noProof/>
            <w:webHidden/>
          </w:rPr>
          <w:fldChar w:fldCharType="begin"/>
        </w:r>
        <w:r w:rsidR="00BF50C4">
          <w:rPr>
            <w:noProof/>
            <w:webHidden/>
          </w:rPr>
          <w:instrText xml:space="preserve"> PAGEREF _Toc112184356 \h </w:instrText>
        </w:r>
        <w:r w:rsidR="00BF50C4">
          <w:rPr>
            <w:noProof/>
            <w:webHidden/>
          </w:rPr>
        </w:r>
        <w:r w:rsidR="00BF50C4">
          <w:rPr>
            <w:noProof/>
            <w:webHidden/>
          </w:rPr>
          <w:fldChar w:fldCharType="separate"/>
        </w:r>
        <w:r w:rsidR="00BF50C4">
          <w:rPr>
            <w:noProof/>
            <w:webHidden/>
          </w:rPr>
          <w:t>23</w:t>
        </w:r>
        <w:r w:rsidR="00BF50C4">
          <w:rPr>
            <w:noProof/>
            <w:webHidden/>
          </w:rPr>
          <w:fldChar w:fldCharType="end"/>
        </w:r>
      </w:hyperlink>
    </w:p>
    <w:p w14:paraId="268F5734" w14:textId="4CAE9D52" w:rsidR="00BF50C4" w:rsidRDefault="00F8335F">
      <w:pPr>
        <w:pStyle w:val="Indholdsfortegnelse2"/>
        <w:rPr>
          <w:rFonts w:asciiTheme="minorHAnsi" w:eastAsiaTheme="minorEastAsia" w:hAnsiTheme="minorHAnsi" w:cstheme="minorBidi"/>
          <w:noProof/>
        </w:rPr>
      </w:pPr>
      <w:hyperlink w:anchor="_Toc112184357" w:history="1">
        <w:r w:rsidR="00BF50C4" w:rsidRPr="00394A39">
          <w:rPr>
            <w:rStyle w:val="Hyperlink"/>
            <w:b/>
            <w:bCs/>
            <w:noProof/>
          </w:rPr>
          <w:t>2.1.2 Kommuners erhvervsudviklingsarbejde med bæredygtighed (SE)</w:t>
        </w:r>
        <w:r w:rsidR="00BF50C4">
          <w:rPr>
            <w:noProof/>
            <w:webHidden/>
          </w:rPr>
          <w:tab/>
        </w:r>
        <w:r w:rsidR="00BF50C4">
          <w:rPr>
            <w:noProof/>
            <w:webHidden/>
          </w:rPr>
          <w:fldChar w:fldCharType="begin"/>
        </w:r>
        <w:r w:rsidR="00BF50C4">
          <w:rPr>
            <w:noProof/>
            <w:webHidden/>
          </w:rPr>
          <w:instrText xml:space="preserve"> PAGEREF _Toc112184357 \h </w:instrText>
        </w:r>
        <w:r w:rsidR="00BF50C4">
          <w:rPr>
            <w:noProof/>
            <w:webHidden/>
          </w:rPr>
        </w:r>
        <w:r w:rsidR="00BF50C4">
          <w:rPr>
            <w:noProof/>
            <w:webHidden/>
          </w:rPr>
          <w:fldChar w:fldCharType="separate"/>
        </w:r>
        <w:r w:rsidR="00BF50C4">
          <w:rPr>
            <w:noProof/>
            <w:webHidden/>
          </w:rPr>
          <w:t>24</w:t>
        </w:r>
        <w:r w:rsidR="00BF50C4">
          <w:rPr>
            <w:noProof/>
            <w:webHidden/>
          </w:rPr>
          <w:fldChar w:fldCharType="end"/>
        </w:r>
      </w:hyperlink>
    </w:p>
    <w:p w14:paraId="64111F6F" w14:textId="5EFE6D05" w:rsidR="00BF50C4" w:rsidRDefault="00F8335F">
      <w:pPr>
        <w:pStyle w:val="Indholdsfortegnelse1"/>
        <w:rPr>
          <w:rFonts w:asciiTheme="minorHAnsi" w:eastAsiaTheme="minorEastAsia" w:hAnsiTheme="minorHAnsi" w:cstheme="minorBidi"/>
          <w:noProof/>
        </w:rPr>
      </w:pPr>
      <w:hyperlink w:anchor="_Toc112184358" w:history="1">
        <w:r w:rsidR="00BF50C4" w:rsidRPr="00394A39">
          <w:rPr>
            <w:rStyle w:val="Hyperlink"/>
            <w:b/>
            <w:bCs/>
            <w:noProof/>
          </w:rPr>
          <w:t>3. Analyse</w:t>
        </w:r>
        <w:r w:rsidR="00BF50C4">
          <w:rPr>
            <w:noProof/>
            <w:webHidden/>
          </w:rPr>
          <w:tab/>
        </w:r>
        <w:r w:rsidR="00BF50C4">
          <w:rPr>
            <w:noProof/>
            <w:webHidden/>
          </w:rPr>
          <w:fldChar w:fldCharType="begin"/>
        </w:r>
        <w:r w:rsidR="00BF50C4">
          <w:rPr>
            <w:noProof/>
            <w:webHidden/>
          </w:rPr>
          <w:instrText xml:space="preserve"> PAGEREF _Toc112184358 \h </w:instrText>
        </w:r>
        <w:r w:rsidR="00BF50C4">
          <w:rPr>
            <w:noProof/>
            <w:webHidden/>
          </w:rPr>
        </w:r>
        <w:r w:rsidR="00BF50C4">
          <w:rPr>
            <w:noProof/>
            <w:webHidden/>
          </w:rPr>
          <w:fldChar w:fldCharType="separate"/>
        </w:r>
        <w:r w:rsidR="00BF50C4">
          <w:rPr>
            <w:noProof/>
            <w:webHidden/>
          </w:rPr>
          <w:t>26</w:t>
        </w:r>
        <w:r w:rsidR="00BF50C4">
          <w:rPr>
            <w:noProof/>
            <w:webHidden/>
          </w:rPr>
          <w:fldChar w:fldCharType="end"/>
        </w:r>
      </w:hyperlink>
    </w:p>
    <w:p w14:paraId="7FEFD257" w14:textId="79DE0D80" w:rsidR="00BF50C4" w:rsidRDefault="00F8335F">
      <w:pPr>
        <w:pStyle w:val="Indholdsfortegnelse1"/>
        <w:rPr>
          <w:rFonts w:asciiTheme="minorHAnsi" w:eastAsiaTheme="minorEastAsia" w:hAnsiTheme="minorHAnsi" w:cstheme="minorBidi"/>
          <w:noProof/>
        </w:rPr>
      </w:pPr>
      <w:hyperlink w:anchor="_Toc112184359" w:history="1">
        <w:r w:rsidR="00BF50C4" w:rsidRPr="00394A39">
          <w:rPr>
            <w:rStyle w:val="Hyperlink"/>
            <w:b/>
            <w:bCs/>
            <w:noProof/>
          </w:rPr>
          <w:t>4. Udviklingsperspektiver</w:t>
        </w:r>
        <w:r w:rsidR="00BF50C4">
          <w:rPr>
            <w:noProof/>
            <w:webHidden/>
          </w:rPr>
          <w:tab/>
        </w:r>
        <w:r w:rsidR="00BF50C4">
          <w:rPr>
            <w:noProof/>
            <w:webHidden/>
          </w:rPr>
          <w:fldChar w:fldCharType="begin"/>
        </w:r>
        <w:r w:rsidR="00BF50C4">
          <w:rPr>
            <w:noProof/>
            <w:webHidden/>
          </w:rPr>
          <w:instrText xml:space="preserve"> PAGEREF _Toc112184359 \h </w:instrText>
        </w:r>
        <w:r w:rsidR="00BF50C4">
          <w:rPr>
            <w:noProof/>
            <w:webHidden/>
          </w:rPr>
        </w:r>
        <w:r w:rsidR="00BF50C4">
          <w:rPr>
            <w:noProof/>
            <w:webHidden/>
          </w:rPr>
          <w:fldChar w:fldCharType="separate"/>
        </w:r>
        <w:r w:rsidR="00BF50C4">
          <w:rPr>
            <w:noProof/>
            <w:webHidden/>
          </w:rPr>
          <w:t>27</w:t>
        </w:r>
        <w:r w:rsidR="00BF50C4">
          <w:rPr>
            <w:noProof/>
            <w:webHidden/>
          </w:rPr>
          <w:fldChar w:fldCharType="end"/>
        </w:r>
      </w:hyperlink>
    </w:p>
    <w:p w14:paraId="2E655ED3" w14:textId="5D37C66F" w:rsidR="00BF50C4" w:rsidRDefault="00F8335F">
      <w:pPr>
        <w:pStyle w:val="Indholdsfortegnelse1"/>
        <w:rPr>
          <w:rFonts w:asciiTheme="minorHAnsi" w:eastAsiaTheme="minorEastAsia" w:hAnsiTheme="minorHAnsi" w:cstheme="minorBidi"/>
          <w:noProof/>
        </w:rPr>
      </w:pPr>
      <w:hyperlink w:anchor="_Toc112184360" w:history="1">
        <w:r w:rsidR="00BF50C4" w:rsidRPr="00394A39">
          <w:rPr>
            <w:rStyle w:val="Hyperlink"/>
            <w:b/>
            <w:bCs/>
            <w:noProof/>
          </w:rPr>
          <w:t>5 Konklusion</w:t>
        </w:r>
        <w:r w:rsidR="00BF50C4">
          <w:rPr>
            <w:noProof/>
            <w:webHidden/>
          </w:rPr>
          <w:tab/>
        </w:r>
        <w:r w:rsidR="00BF50C4">
          <w:rPr>
            <w:noProof/>
            <w:webHidden/>
          </w:rPr>
          <w:fldChar w:fldCharType="begin"/>
        </w:r>
        <w:r w:rsidR="00BF50C4">
          <w:rPr>
            <w:noProof/>
            <w:webHidden/>
          </w:rPr>
          <w:instrText xml:space="preserve"> PAGEREF _Toc112184360 \h </w:instrText>
        </w:r>
        <w:r w:rsidR="00BF50C4">
          <w:rPr>
            <w:noProof/>
            <w:webHidden/>
          </w:rPr>
        </w:r>
        <w:r w:rsidR="00BF50C4">
          <w:rPr>
            <w:noProof/>
            <w:webHidden/>
          </w:rPr>
          <w:fldChar w:fldCharType="separate"/>
        </w:r>
        <w:r w:rsidR="00BF50C4">
          <w:rPr>
            <w:noProof/>
            <w:webHidden/>
          </w:rPr>
          <w:t>27</w:t>
        </w:r>
        <w:r w:rsidR="00BF50C4">
          <w:rPr>
            <w:noProof/>
            <w:webHidden/>
          </w:rPr>
          <w:fldChar w:fldCharType="end"/>
        </w:r>
      </w:hyperlink>
    </w:p>
    <w:p w14:paraId="01F38B04" w14:textId="760BA61D" w:rsidR="00BF50C4" w:rsidRDefault="00F8335F">
      <w:pPr>
        <w:pStyle w:val="Indholdsfortegnelse1"/>
        <w:rPr>
          <w:rFonts w:asciiTheme="minorHAnsi" w:eastAsiaTheme="minorEastAsia" w:hAnsiTheme="minorHAnsi" w:cstheme="minorBidi"/>
          <w:noProof/>
        </w:rPr>
      </w:pPr>
      <w:hyperlink w:anchor="_Toc112184361" w:history="1">
        <w:r w:rsidR="00BF50C4" w:rsidRPr="00394A39">
          <w:rPr>
            <w:rStyle w:val="Hyperlink"/>
            <w:b/>
            <w:bCs/>
            <w:noProof/>
            <w:lang w:val="sv-SE"/>
          </w:rPr>
          <w:t>6 Referencer</w:t>
        </w:r>
        <w:r w:rsidR="00BF50C4">
          <w:rPr>
            <w:noProof/>
            <w:webHidden/>
          </w:rPr>
          <w:tab/>
        </w:r>
        <w:r w:rsidR="00BF50C4">
          <w:rPr>
            <w:noProof/>
            <w:webHidden/>
          </w:rPr>
          <w:fldChar w:fldCharType="begin"/>
        </w:r>
        <w:r w:rsidR="00BF50C4">
          <w:rPr>
            <w:noProof/>
            <w:webHidden/>
          </w:rPr>
          <w:instrText xml:space="preserve"> PAGEREF _Toc112184361 \h </w:instrText>
        </w:r>
        <w:r w:rsidR="00BF50C4">
          <w:rPr>
            <w:noProof/>
            <w:webHidden/>
          </w:rPr>
        </w:r>
        <w:r w:rsidR="00BF50C4">
          <w:rPr>
            <w:noProof/>
            <w:webHidden/>
          </w:rPr>
          <w:fldChar w:fldCharType="separate"/>
        </w:r>
        <w:r w:rsidR="00BF50C4">
          <w:rPr>
            <w:noProof/>
            <w:webHidden/>
          </w:rPr>
          <w:t>30</w:t>
        </w:r>
        <w:r w:rsidR="00BF50C4">
          <w:rPr>
            <w:noProof/>
            <w:webHidden/>
          </w:rPr>
          <w:fldChar w:fldCharType="end"/>
        </w:r>
      </w:hyperlink>
    </w:p>
    <w:p w14:paraId="7728BB11" w14:textId="3F5C3994" w:rsidR="00BF50C4" w:rsidRDefault="00F8335F">
      <w:pPr>
        <w:pStyle w:val="Indholdsfortegnelse1"/>
        <w:rPr>
          <w:rFonts w:asciiTheme="minorHAnsi" w:eastAsiaTheme="minorEastAsia" w:hAnsiTheme="minorHAnsi" w:cstheme="minorBidi"/>
          <w:noProof/>
        </w:rPr>
      </w:pPr>
      <w:hyperlink w:anchor="_Toc112184362" w:history="1">
        <w:r w:rsidR="00BF50C4" w:rsidRPr="00394A39">
          <w:rPr>
            <w:rStyle w:val="Hyperlink"/>
            <w:b/>
            <w:bCs/>
            <w:noProof/>
          </w:rPr>
          <w:t>Bilag:</w:t>
        </w:r>
        <w:r w:rsidR="00BF50C4">
          <w:rPr>
            <w:noProof/>
            <w:webHidden/>
          </w:rPr>
          <w:tab/>
        </w:r>
        <w:r w:rsidR="00BF50C4">
          <w:rPr>
            <w:noProof/>
            <w:webHidden/>
          </w:rPr>
          <w:fldChar w:fldCharType="begin"/>
        </w:r>
        <w:r w:rsidR="00BF50C4">
          <w:rPr>
            <w:noProof/>
            <w:webHidden/>
          </w:rPr>
          <w:instrText xml:space="preserve"> PAGEREF _Toc112184362 \h </w:instrText>
        </w:r>
        <w:r w:rsidR="00BF50C4">
          <w:rPr>
            <w:noProof/>
            <w:webHidden/>
          </w:rPr>
        </w:r>
        <w:r w:rsidR="00BF50C4">
          <w:rPr>
            <w:noProof/>
            <w:webHidden/>
          </w:rPr>
          <w:fldChar w:fldCharType="separate"/>
        </w:r>
        <w:r w:rsidR="00BF50C4">
          <w:rPr>
            <w:noProof/>
            <w:webHidden/>
          </w:rPr>
          <w:t>31</w:t>
        </w:r>
        <w:r w:rsidR="00BF50C4">
          <w:rPr>
            <w:noProof/>
            <w:webHidden/>
          </w:rPr>
          <w:fldChar w:fldCharType="end"/>
        </w:r>
      </w:hyperlink>
    </w:p>
    <w:p w14:paraId="709D783B" w14:textId="1B716472" w:rsidR="00BF50C4" w:rsidRDefault="00F8335F">
      <w:pPr>
        <w:pStyle w:val="Indholdsfortegnelse1"/>
        <w:rPr>
          <w:rFonts w:asciiTheme="minorHAnsi" w:eastAsiaTheme="minorEastAsia" w:hAnsiTheme="minorHAnsi" w:cstheme="minorBidi"/>
          <w:noProof/>
        </w:rPr>
      </w:pPr>
      <w:hyperlink w:anchor="_Toc112184363" w:history="1">
        <w:r w:rsidR="00BF50C4" w:rsidRPr="00394A39">
          <w:rPr>
            <w:rStyle w:val="Hyperlink"/>
            <w:b/>
            <w:bCs/>
            <w:noProof/>
          </w:rPr>
          <w:t>1.Baggrund - regulativ udvikling</w:t>
        </w:r>
        <w:r w:rsidR="00BF50C4">
          <w:rPr>
            <w:noProof/>
            <w:webHidden/>
          </w:rPr>
          <w:tab/>
        </w:r>
        <w:r w:rsidR="00BF50C4">
          <w:rPr>
            <w:noProof/>
            <w:webHidden/>
          </w:rPr>
          <w:fldChar w:fldCharType="begin"/>
        </w:r>
        <w:r w:rsidR="00BF50C4">
          <w:rPr>
            <w:noProof/>
            <w:webHidden/>
          </w:rPr>
          <w:instrText xml:space="preserve"> PAGEREF _Toc112184363 \h </w:instrText>
        </w:r>
        <w:r w:rsidR="00BF50C4">
          <w:rPr>
            <w:noProof/>
            <w:webHidden/>
          </w:rPr>
        </w:r>
        <w:r w:rsidR="00BF50C4">
          <w:rPr>
            <w:noProof/>
            <w:webHidden/>
          </w:rPr>
          <w:fldChar w:fldCharType="separate"/>
        </w:r>
        <w:r w:rsidR="00BF50C4">
          <w:rPr>
            <w:noProof/>
            <w:webHidden/>
          </w:rPr>
          <w:t>31</w:t>
        </w:r>
        <w:r w:rsidR="00BF50C4">
          <w:rPr>
            <w:noProof/>
            <w:webHidden/>
          </w:rPr>
          <w:fldChar w:fldCharType="end"/>
        </w:r>
      </w:hyperlink>
    </w:p>
    <w:p w14:paraId="641A6658" w14:textId="20DCB548" w:rsidR="00BF50C4" w:rsidRDefault="00F8335F">
      <w:pPr>
        <w:pStyle w:val="Indholdsfortegnelse1"/>
        <w:rPr>
          <w:rFonts w:asciiTheme="minorHAnsi" w:eastAsiaTheme="minorEastAsia" w:hAnsiTheme="minorHAnsi" w:cstheme="minorBidi"/>
          <w:noProof/>
        </w:rPr>
      </w:pPr>
      <w:hyperlink w:anchor="_Toc112184364" w:history="1">
        <w:r w:rsidR="00BF50C4" w:rsidRPr="00394A39">
          <w:rPr>
            <w:rStyle w:val="Hyperlink"/>
            <w:b/>
            <w:bCs/>
            <w:noProof/>
          </w:rPr>
          <w:t>2. Datagrundlag</w:t>
        </w:r>
        <w:r w:rsidR="00BF50C4">
          <w:rPr>
            <w:noProof/>
            <w:webHidden/>
          </w:rPr>
          <w:tab/>
        </w:r>
        <w:r w:rsidR="00BF50C4">
          <w:rPr>
            <w:noProof/>
            <w:webHidden/>
          </w:rPr>
          <w:fldChar w:fldCharType="begin"/>
        </w:r>
        <w:r w:rsidR="00BF50C4">
          <w:rPr>
            <w:noProof/>
            <w:webHidden/>
          </w:rPr>
          <w:instrText xml:space="preserve"> PAGEREF _Toc112184364 \h </w:instrText>
        </w:r>
        <w:r w:rsidR="00BF50C4">
          <w:rPr>
            <w:noProof/>
            <w:webHidden/>
          </w:rPr>
        </w:r>
        <w:r w:rsidR="00BF50C4">
          <w:rPr>
            <w:noProof/>
            <w:webHidden/>
          </w:rPr>
          <w:fldChar w:fldCharType="separate"/>
        </w:r>
        <w:r w:rsidR="00BF50C4">
          <w:rPr>
            <w:noProof/>
            <w:webHidden/>
          </w:rPr>
          <w:t>33</w:t>
        </w:r>
        <w:r w:rsidR="00BF50C4">
          <w:rPr>
            <w:noProof/>
            <w:webHidden/>
          </w:rPr>
          <w:fldChar w:fldCharType="end"/>
        </w:r>
      </w:hyperlink>
    </w:p>
    <w:p w14:paraId="63D521FF" w14:textId="46C892BE" w:rsidR="00BF50C4" w:rsidRDefault="00F8335F">
      <w:pPr>
        <w:pStyle w:val="Indholdsfortegnelse2"/>
        <w:rPr>
          <w:rFonts w:asciiTheme="minorHAnsi" w:eastAsiaTheme="minorEastAsia" w:hAnsiTheme="minorHAnsi" w:cstheme="minorBidi"/>
          <w:noProof/>
        </w:rPr>
      </w:pPr>
      <w:hyperlink w:anchor="_Toc112184365" w:history="1">
        <w:r w:rsidR="00BF50C4" w:rsidRPr="00394A39">
          <w:rPr>
            <w:rStyle w:val="Hyperlink"/>
            <w:b/>
            <w:bCs/>
            <w:noProof/>
          </w:rPr>
          <w:t>Sverige</w:t>
        </w:r>
        <w:r w:rsidR="00BF50C4">
          <w:rPr>
            <w:noProof/>
            <w:webHidden/>
          </w:rPr>
          <w:tab/>
        </w:r>
        <w:r w:rsidR="00BF50C4">
          <w:rPr>
            <w:noProof/>
            <w:webHidden/>
          </w:rPr>
          <w:fldChar w:fldCharType="begin"/>
        </w:r>
        <w:r w:rsidR="00BF50C4">
          <w:rPr>
            <w:noProof/>
            <w:webHidden/>
          </w:rPr>
          <w:instrText xml:space="preserve"> PAGEREF _Toc112184365 \h </w:instrText>
        </w:r>
        <w:r w:rsidR="00BF50C4">
          <w:rPr>
            <w:noProof/>
            <w:webHidden/>
          </w:rPr>
        </w:r>
        <w:r w:rsidR="00BF50C4">
          <w:rPr>
            <w:noProof/>
            <w:webHidden/>
          </w:rPr>
          <w:fldChar w:fldCharType="separate"/>
        </w:r>
        <w:r w:rsidR="00BF50C4">
          <w:rPr>
            <w:noProof/>
            <w:webHidden/>
          </w:rPr>
          <w:t>33</w:t>
        </w:r>
        <w:r w:rsidR="00BF50C4">
          <w:rPr>
            <w:noProof/>
            <w:webHidden/>
          </w:rPr>
          <w:fldChar w:fldCharType="end"/>
        </w:r>
      </w:hyperlink>
    </w:p>
    <w:p w14:paraId="02862049" w14:textId="27D34EED" w:rsidR="00BF50C4" w:rsidRDefault="00F8335F">
      <w:pPr>
        <w:pStyle w:val="Indholdsfortegnelse2"/>
        <w:rPr>
          <w:rFonts w:asciiTheme="minorHAnsi" w:eastAsiaTheme="minorEastAsia" w:hAnsiTheme="minorHAnsi" w:cstheme="minorBidi"/>
          <w:noProof/>
        </w:rPr>
      </w:pPr>
      <w:hyperlink w:anchor="_Toc112184366" w:history="1">
        <w:r w:rsidR="00BF50C4" w:rsidRPr="00394A39">
          <w:rPr>
            <w:rStyle w:val="Hyperlink"/>
            <w:b/>
            <w:bCs/>
            <w:noProof/>
            <w:lang w:val="en-GB"/>
          </w:rPr>
          <w:t>Danmark</w:t>
        </w:r>
        <w:r w:rsidR="00BF50C4">
          <w:rPr>
            <w:noProof/>
            <w:webHidden/>
          </w:rPr>
          <w:tab/>
        </w:r>
        <w:r w:rsidR="00BF50C4">
          <w:rPr>
            <w:noProof/>
            <w:webHidden/>
          </w:rPr>
          <w:fldChar w:fldCharType="begin"/>
        </w:r>
        <w:r w:rsidR="00BF50C4">
          <w:rPr>
            <w:noProof/>
            <w:webHidden/>
          </w:rPr>
          <w:instrText xml:space="preserve"> PAGEREF _Toc112184366 \h </w:instrText>
        </w:r>
        <w:r w:rsidR="00BF50C4">
          <w:rPr>
            <w:noProof/>
            <w:webHidden/>
          </w:rPr>
        </w:r>
        <w:r w:rsidR="00BF50C4">
          <w:rPr>
            <w:noProof/>
            <w:webHidden/>
          </w:rPr>
          <w:fldChar w:fldCharType="separate"/>
        </w:r>
        <w:r w:rsidR="00BF50C4">
          <w:rPr>
            <w:noProof/>
            <w:webHidden/>
          </w:rPr>
          <w:t>35</w:t>
        </w:r>
        <w:r w:rsidR="00BF50C4">
          <w:rPr>
            <w:noProof/>
            <w:webHidden/>
          </w:rPr>
          <w:fldChar w:fldCharType="end"/>
        </w:r>
      </w:hyperlink>
    </w:p>
    <w:p w14:paraId="6BAF801E" w14:textId="6E915287" w:rsidR="004336DD" w:rsidRDefault="00782F5D">
      <w:pPr>
        <w:spacing w:after="0" w:line="240" w:lineRule="auto"/>
        <w:rPr>
          <w:b/>
          <w:bCs/>
        </w:rPr>
      </w:pPr>
      <w:r>
        <w:rPr>
          <w:b/>
          <w:bCs/>
        </w:rPr>
        <w:fldChar w:fldCharType="end"/>
      </w:r>
      <w:r w:rsidR="004336DD">
        <w:rPr>
          <w:b/>
          <w:bCs/>
        </w:rPr>
        <w:br w:type="page"/>
      </w:r>
    </w:p>
    <w:p w14:paraId="28535AF2" w14:textId="77777777" w:rsidR="004336DD" w:rsidRDefault="004336DD" w:rsidP="004336DD">
      <w:pPr>
        <w:pStyle w:val="Overskrift1"/>
        <w:rPr>
          <w:b/>
          <w:bCs/>
        </w:rPr>
      </w:pPr>
      <w:bookmarkStart w:id="3" w:name="_Toc112184340"/>
      <w:r w:rsidRPr="00D660C8">
        <w:rPr>
          <w:b/>
          <w:bCs/>
        </w:rPr>
        <w:t>Forord</w:t>
      </w:r>
      <w:bookmarkEnd w:id="3"/>
    </w:p>
    <w:p w14:paraId="1D796EBC" w14:textId="77777777" w:rsidR="000E290C" w:rsidRDefault="000E290C" w:rsidP="000E290C"/>
    <w:p w14:paraId="08EA2EE9" w14:textId="209C5B04" w:rsidR="00D51F31" w:rsidRPr="00D51F31" w:rsidRDefault="000E290C" w:rsidP="00D51F31">
      <w:pPr>
        <w:rPr>
          <w:rFonts w:cs="Arial"/>
        </w:rPr>
      </w:pPr>
      <w:r w:rsidRPr="00D660C8">
        <w:t xml:space="preserve">Denne </w:t>
      </w:r>
      <w:r>
        <w:t>analyserapport er en del af Interreg forprojektet "</w:t>
      </w:r>
      <w:r>
        <w:rPr>
          <w:rFonts w:cs="Arial"/>
        </w:rPr>
        <w:t>Den grønne taxonomi i den lokale erhvervsfremme (pre-GTLE)”.</w:t>
      </w:r>
      <w:r w:rsidR="0040460C">
        <w:rPr>
          <w:rFonts w:cs="Arial"/>
        </w:rPr>
        <w:t xml:space="preserve"> </w:t>
      </w:r>
      <w:r>
        <w:rPr>
          <w:rFonts w:cs="Arial"/>
        </w:rPr>
        <w:t>Dette projek</w:t>
      </w:r>
      <w:r w:rsidR="00D51F31">
        <w:rPr>
          <w:rFonts w:cs="Arial"/>
        </w:rPr>
        <w:t>t</w:t>
      </w:r>
      <w:r>
        <w:rPr>
          <w:rFonts w:cs="Arial"/>
        </w:rPr>
        <w:t>s formål</w:t>
      </w:r>
      <w:r w:rsidR="0040460C">
        <w:rPr>
          <w:rFonts w:cs="Arial"/>
        </w:rPr>
        <w:t xml:space="preserve"> </w:t>
      </w:r>
      <w:r w:rsidR="00D51F31">
        <w:rPr>
          <w:rFonts w:cs="Arial"/>
        </w:rPr>
        <w:t>er</w:t>
      </w:r>
      <w:r w:rsidR="00D51F31" w:rsidRPr="00D51F31">
        <w:rPr>
          <w:rFonts w:cs="Arial"/>
        </w:rPr>
        <w:t xml:space="preserve"> at analysere, afdække og definere virksomheders behov for hjælp til udvikling af</w:t>
      </w:r>
      <w:r w:rsidR="00D51F31">
        <w:rPr>
          <w:rFonts w:cs="Arial"/>
        </w:rPr>
        <w:t xml:space="preserve"> </w:t>
      </w:r>
      <w:r w:rsidR="00D51F31" w:rsidRPr="00D51F31">
        <w:rPr>
          <w:rFonts w:cs="Arial"/>
        </w:rPr>
        <w:t>grønne forretningsmodeller ved en øget anvendelse af vedvarende energi i forhold til det samlede</w:t>
      </w:r>
      <w:r w:rsidR="00D51F31">
        <w:rPr>
          <w:rFonts w:cs="Arial"/>
        </w:rPr>
        <w:t xml:space="preserve"> </w:t>
      </w:r>
      <w:r w:rsidR="00D51F31" w:rsidRPr="00D51F31">
        <w:rPr>
          <w:rFonts w:cs="Arial"/>
        </w:rPr>
        <w:t>energiforbrug blandt små og mellemstore virksomheder (SMV¿er) i KASK-området. Derigennem vil det</w:t>
      </w:r>
      <w:r w:rsidR="00D51F31">
        <w:rPr>
          <w:rFonts w:cs="Arial"/>
        </w:rPr>
        <w:t xml:space="preserve"> </w:t>
      </w:r>
      <w:r w:rsidR="00D51F31" w:rsidRPr="00D51F31">
        <w:rPr>
          <w:rFonts w:cs="Arial"/>
        </w:rPr>
        <w:t>skabe grundlag for et hovedprojekt, der kan søges i Policy Objective, om en bæredygtig, cirkulær og</w:t>
      </w:r>
      <w:r w:rsidR="00D51F31">
        <w:rPr>
          <w:rFonts w:cs="Arial"/>
        </w:rPr>
        <w:t xml:space="preserve"> </w:t>
      </w:r>
      <w:r w:rsidR="00D51F31" w:rsidRPr="00D51F31">
        <w:rPr>
          <w:rFonts w:cs="Arial"/>
        </w:rPr>
        <w:t>klimasmart region. I hovedprojektet vil også være fokus på hvordan, hvor forretningsmodeller baseret på</w:t>
      </w:r>
      <w:r w:rsidR="00D51F31">
        <w:rPr>
          <w:rFonts w:cs="Arial"/>
        </w:rPr>
        <w:t xml:space="preserve"> </w:t>
      </w:r>
      <w:r w:rsidR="00D51F31" w:rsidRPr="00D51F31">
        <w:rPr>
          <w:rFonts w:cs="Arial"/>
        </w:rPr>
        <w:t>vedvarende energi og som er del af den cirkulære økonomi kan gennemføres med grøn finansiering fra blandt</w:t>
      </w:r>
      <w:r w:rsidR="00D51F31">
        <w:rPr>
          <w:rFonts w:cs="Arial"/>
        </w:rPr>
        <w:t xml:space="preserve"> </w:t>
      </w:r>
      <w:r w:rsidR="00D51F31" w:rsidRPr="00D51F31">
        <w:rPr>
          <w:rFonts w:cs="Arial"/>
        </w:rPr>
        <w:t>andet banker og derved både bidraget til regionens konkurrencekraft og til forebyggelse af og tilpasning til</w:t>
      </w:r>
      <w:r w:rsidR="00D51F31">
        <w:rPr>
          <w:rFonts w:cs="Arial"/>
        </w:rPr>
        <w:t xml:space="preserve"> </w:t>
      </w:r>
      <w:r w:rsidR="00D51F31" w:rsidRPr="00D51F31">
        <w:rPr>
          <w:rFonts w:cs="Arial"/>
        </w:rPr>
        <w:t>klimaændringer.</w:t>
      </w:r>
    </w:p>
    <w:p w14:paraId="73B36F10" w14:textId="656CB88D" w:rsidR="000E290C" w:rsidRPr="00D660C8" w:rsidRDefault="000E290C" w:rsidP="00D660C8">
      <w:r>
        <w:rPr>
          <w:rFonts w:cs="Arial"/>
        </w:rPr>
        <w:t>Projektets hovedresultater er formidlet i en ”s</w:t>
      </w:r>
      <w:r w:rsidRPr="000E290C">
        <w:rPr>
          <w:rFonts w:cs="Arial"/>
        </w:rPr>
        <w:t>lutrapport för förprojekt - beviljade med klumpsumma</w:t>
      </w:r>
      <w:r>
        <w:rPr>
          <w:rFonts w:cs="Arial"/>
        </w:rPr>
        <w:t xml:space="preserve"> </w:t>
      </w:r>
      <w:r w:rsidRPr="000E290C">
        <w:rPr>
          <w:rFonts w:cs="Arial"/>
        </w:rPr>
        <w:t>Interreg Öresund-Kattegat-Skagerrak</w:t>
      </w:r>
      <w:r>
        <w:rPr>
          <w:rFonts w:cs="Arial"/>
        </w:rPr>
        <w:t>”</w:t>
      </w:r>
      <w:r w:rsidR="00D51F31">
        <w:rPr>
          <w:rFonts w:cs="Arial"/>
        </w:rPr>
        <w:t>. Nærværende analyserapport er tænkt for baggrundsmateriale for de formidlede hovedresultater i slutrapporten.</w:t>
      </w:r>
      <w:r>
        <w:rPr>
          <w:rFonts w:cs="Arial"/>
        </w:rPr>
        <w:t xml:space="preserve"> </w:t>
      </w:r>
    </w:p>
    <w:p w14:paraId="14E56A5D" w14:textId="42C1F8E6" w:rsidR="0071144B" w:rsidRPr="00BF50C4" w:rsidRDefault="00BF50C4" w:rsidP="000E290C">
      <w:r w:rsidRPr="00BF50C4">
        <w:t>Analyserapporten er udarbejdet i et samarbejde mellem de to projektgrupper i Danmark/region Midtjylland og Sverige/ Västra Sverige. Medlemmer i projektgrupperne har været:</w:t>
      </w:r>
    </w:p>
    <w:p w14:paraId="55E62202" w14:textId="521BF07A" w:rsidR="000E290C" w:rsidRPr="00BF50C4" w:rsidRDefault="00D51F31" w:rsidP="000E290C">
      <w:pPr>
        <w:rPr>
          <w:b/>
          <w:bCs/>
        </w:rPr>
      </w:pPr>
      <w:r w:rsidRPr="00BF50C4">
        <w:rPr>
          <w:b/>
          <w:bCs/>
        </w:rPr>
        <w:t xml:space="preserve">Projektgruppen i Danmark </w:t>
      </w:r>
    </w:p>
    <w:p w14:paraId="2534CE52" w14:textId="6F87F339" w:rsidR="0071144B" w:rsidRPr="00D660C8" w:rsidRDefault="0071144B" w:rsidP="000E290C">
      <w:pPr>
        <w:rPr>
          <w:lang w:val="nb-NO"/>
        </w:rPr>
      </w:pPr>
      <w:r w:rsidRPr="00D660C8">
        <w:rPr>
          <w:lang w:val="nb-NO"/>
        </w:rPr>
        <w:t xml:space="preserve">Lars Nautrup Jensen, Projektleder, Ringkjøbing Skjern Kommune </w:t>
      </w:r>
    </w:p>
    <w:p w14:paraId="5B408097" w14:textId="7D4633F4" w:rsidR="00D51F31" w:rsidRPr="00D660C8" w:rsidRDefault="0071144B" w:rsidP="000E290C">
      <w:pPr>
        <w:rPr>
          <w:lang w:val="nb-NO"/>
        </w:rPr>
      </w:pPr>
      <w:r w:rsidRPr="00D660C8">
        <w:rPr>
          <w:lang w:val="nb-NO"/>
        </w:rPr>
        <w:t>Søren Konnerup Ringkjøbing Skjern Erhvervsrå</w:t>
      </w:r>
      <w:r w:rsidR="002D296F">
        <w:rPr>
          <w:lang w:val="nb-NO"/>
        </w:rPr>
        <w:t>d</w:t>
      </w:r>
    </w:p>
    <w:p w14:paraId="68543B26" w14:textId="45A4EC7E" w:rsidR="0071144B" w:rsidRPr="00D660C8" w:rsidRDefault="0071144B" w:rsidP="000E290C">
      <w:pPr>
        <w:rPr>
          <w:lang w:val="nb-NO"/>
        </w:rPr>
      </w:pPr>
      <w:r w:rsidRPr="00D660C8">
        <w:rPr>
          <w:lang w:val="nb-NO"/>
        </w:rPr>
        <w:t>Lene Hindbo Ringkjøbing Skjern Erhvervsråd</w:t>
      </w:r>
    </w:p>
    <w:p w14:paraId="63117CC8" w14:textId="77777777" w:rsidR="0071144B" w:rsidRPr="00D660C8" w:rsidRDefault="0071144B" w:rsidP="00D660C8">
      <w:pPr>
        <w:rPr>
          <w:lang w:val="nb-NO"/>
        </w:rPr>
      </w:pPr>
    </w:p>
    <w:p w14:paraId="121A6CFA" w14:textId="77777777" w:rsidR="004336DD" w:rsidRPr="00D660C8" w:rsidRDefault="004336DD" w:rsidP="004336DD">
      <w:pPr>
        <w:rPr>
          <w:b/>
          <w:bCs/>
          <w:lang w:val="nb-NO"/>
        </w:rPr>
      </w:pPr>
      <w:r w:rsidRPr="00D660C8">
        <w:rPr>
          <w:b/>
          <w:bCs/>
          <w:lang w:val="nb-NO"/>
        </w:rPr>
        <w:t xml:space="preserve">Projektgruppe i Sverige </w:t>
      </w:r>
    </w:p>
    <w:p w14:paraId="1AD35EBB" w14:textId="2A2E7CEA" w:rsidR="004336DD" w:rsidRPr="002C03EE" w:rsidRDefault="004336DD" w:rsidP="004336DD">
      <w:pPr>
        <w:rPr>
          <w:lang w:val="sv-SE"/>
        </w:rPr>
      </w:pPr>
      <w:r w:rsidRPr="00BF50C4">
        <w:rPr>
          <w:lang w:val="sv-SE"/>
        </w:rPr>
        <w:t>Jeaneth Johansson, Professor i regnskab</w:t>
      </w:r>
      <w:r w:rsidR="0040460C" w:rsidRPr="00BF50C4">
        <w:rPr>
          <w:lang w:val="sv-SE"/>
        </w:rPr>
        <w:t xml:space="preserve"> </w:t>
      </w:r>
      <w:r w:rsidRPr="00BF50C4">
        <w:rPr>
          <w:lang w:val="sv-SE"/>
        </w:rPr>
        <w:t>og finansiel besalutningstagnine (Accounting &amp; Financial decision-making) Akademin för företagande,</w:t>
      </w:r>
      <w:r w:rsidR="0040460C" w:rsidRPr="00BF50C4">
        <w:rPr>
          <w:lang w:val="sv-SE"/>
        </w:rPr>
        <w:t xml:space="preserve"> </w:t>
      </w:r>
      <w:r w:rsidR="00BF50C4" w:rsidRPr="00BF50C4">
        <w:rPr>
          <w:lang w:val="sv-SE"/>
        </w:rPr>
        <w:t>i</w:t>
      </w:r>
      <w:r w:rsidRPr="00BF50C4">
        <w:rPr>
          <w:lang w:val="sv-SE"/>
        </w:rPr>
        <w:t xml:space="preserve">nnovation och hållbarhet. </w:t>
      </w:r>
      <w:r>
        <w:rPr>
          <w:lang w:val="sv-SE"/>
        </w:rPr>
        <w:t>Högskolen i Halmstad.</w:t>
      </w:r>
      <w:r w:rsidR="0040460C">
        <w:rPr>
          <w:lang w:val="sv-SE"/>
        </w:rPr>
        <w:t xml:space="preserve"> </w:t>
      </w:r>
    </w:p>
    <w:p w14:paraId="39E5F058" w14:textId="08A81F2F" w:rsidR="004336DD" w:rsidRDefault="004336DD" w:rsidP="004336DD">
      <w:pPr>
        <w:rPr>
          <w:lang w:val="sv-SE"/>
        </w:rPr>
      </w:pPr>
      <w:r>
        <w:rPr>
          <w:lang w:val="sv-SE"/>
        </w:rPr>
        <w:t>Christian Koch</w:t>
      </w:r>
      <w:r w:rsidRPr="002C03EE">
        <w:rPr>
          <w:lang w:val="sv-SE"/>
        </w:rPr>
        <w:t xml:space="preserve">, Professor i </w:t>
      </w:r>
      <w:r>
        <w:rPr>
          <w:lang w:val="sv-SE"/>
        </w:rPr>
        <w:t xml:space="preserve">byggeriets innovation, </w:t>
      </w:r>
      <w:r w:rsidRPr="002C03EE">
        <w:rPr>
          <w:lang w:val="sv-SE"/>
        </w:rPr>
        <w:t>Akademin f</w:t>
      </w:r>
      <w:r>
        <w:rPr>
          <w:lang w:val="sv-SE"/>
        </w:rPr>
        <w:t>ör företagande,</w:t>
      </w:r>
      <w:r w:rsidR="0040460C">
        <w:rPr>
          <w:lang w:val="sv-SE"/>
        </w:rPr>
        <w:t xml:space="preserve"> </w:t>
      </w:r>
      <w:r w:rsidR="00BF50C4">
        <w:rPr>
          <w:lang w:val="sv-SE"/>
        </w:rPr>
        <w:t>i</w:t>
      </w:r>
      <w:r>
        <w:rPr>
          <w:lang w:val="sv-SE"/>
        </w:rPr>
        <w:t>nnovation och hållbarhet. Högskolen i Halmstad.</w:t>
      </w:r>
      <w:r w:rsidR="0040460C">
        <w:rPr>
          <w:lang w:val="sv-SE"/>
        </w:rPr>
        <w:t xml:space="preserve"> </w:t>
      </w:r>
    </w:p>
    <w:p w14:paraId="45423397" w14:textId="77777777" w:rsidR="004336DD" w:rsidRPr="003870A2" w:rsidRDefault="004336DD" w:rsidP="004336DD">
      <w:pPr>
        <w:rPr>
          <w:lang w:val="sv-SE"/>
        </w:rPr>
      </w:pPr>
      <w:r w:rsidRPr="003870A2">
        <w:rPr>
          <w:lang w:val="sv-SE"/>
        </w:rPr>
        <w:t>Urban Werner, Werner Konsult, Stockholm</w:t>
      </w:r>
    </w:p>
    <w:p w14:paraId="17C1F69C" w14:textId="77777777" w:rsidR="004336DD" w:rsidRPr="00D660C8" w:rsidRDefault="004336DD" w:rsidP="004336DD">
      <w:pPr>
        <w:rPr>
          <w:lang w:val="sv-SE"/>
        </w:rPr>
      </w:pPr>
      <w:r w:rsidRPr="00D660C8">
        <w:rPr>
          <w:lang w:val="sv-SE"/>
        </w:rPr>
        <w:t>Karin Hallingsström, Dayspring, Göteborg</w:t>
      </w:r>
    </w:p>
    <w:p w14:paraId="64F0F7AA" w14:textId="35F9A502" w:rsidR="00C8128E" w:rsidRPr="00D660C8" w:rsidRDefault="00C8128E" w:rsidP="00D660C8">
      <w:pPr>
        <w:pStyle w:val="Overskrift1"/>
        <w:rPr>
          <w:b/>
          <w:bCs/>
          <w:lang w:val="sv-SE"/>
        </w:rPr>
      </w:pPr>
      <w:r w:rsidRPr="00D660C8">
        <w:rPr>
          <w:b/>
          <w:bCs/>
          <w:lang w:val="sv-SE"/>
        </w:rPr>
        <w:br w:type="page"/>
      </w:r>
    </w:p>
    <w:p w14:paraId="13E758E5" w14:textId="5256BF2D" w:rsidR="00780DC0" w:rsidRPr="00DE14A5" w:rsidRDefault="00780DC0" w:rsidP="00DE14A5">
      <w:pPr>
        <w:pStyle w:val="Overskrift1"/>
        <w:rPr>
          <w:b/>
          <w:bCs/>
        </w:rPr>
      </w:pPr>
      <w:bookmarkStart w:id="4" w:name="_Toc112184341"/>
      <w:r w:rsidRPr="00DE14A5">
        <w:rPr>
          <w:b/>
          <w:bCs/>
        </w:rPr>
        <w:t>0. Resume af taxonomiens vigtigste indhold</w:t>
      </w:r>
      <w:bookmarkEnd w:id="4"/>
    </w:p>
    <w:p w14:paraId="335E3A26" w14:textId="1FEACFD7" w:rsidR="00331F68" w:rsidRDefault="00AA7D73" w:rsidP="00857E95">
      <w:r>
        <w:t xml:space="preserve">Den grønne bæredygtigheds-’taksonomi’ som nu er lovfæstet i den europæiske regulering af </w:t>
      </w:r>
      <w:r w:rsidR="002609C0">
        <w:t xml:space="preserve">børsnoterede virksomheder og den </w:t>
      </w:r>
      <w:r>
        <w:t>finansielle sektor er i bund og grund en kategorisering af økonomiske aktiviteter i ´</w:t>
      </w:r>
      <w:r w:rsidR="002609C0">
        <w:t>bæredygtige</w:t>
      </w:r>
      <w:r>
        <w:t>’ eller ej.</w:t>
      </w:r>
      <w:r w:rsidR="00331F68">
        <w:rPr>
          <w:rStyle w:val="Fodnotehenvisning"/>
        </w:rPr>
        <w:footnoteReference w:id="1"/>
      </w:r>
      <w:r>
        <w:t xml:space="preserve"> </w:t>
      </w:r>
    </w:p>
    <w:p w14:paraId="1A5EC4B4" w14:textId="5665A056" w:rsidR="00C8128E" w:rsidRDefault="00AA7D73" w:rsidP="00857E95">
      <w:r>
        <w:t>Denne definition bruges så i anden lovgivning, hvor en præcisering af en legitim definition af ’</w:t>
      </w:r>
      <w:r w:rsidR="002609C0">
        <w:t>bæredygtige</w:t>
      </w:r>
      <w:r>
        <w:t xml:space="preserve"> økonomiske aktiviteter’ er relevant. Det gælder blandt andet reglerne for grønne obligationer, som af mange menes at skulle finansiere en sto</w:t>
      </w:r>
      <w:r w:rsidR="00331F68">
        <w:t xml:space="preserve">r del af den grønne omstilling. Det gælder også </w:t>
      </w:r>
      <w:r>
        <w:t>reglerne for at rapportere om bæredygtighed i årsrapporter (</w:t>
      </w:r>
      <w:r w:rsidR="00331F68">
        <w:t>Corporate Sustainable Reporting Directive</w:t>
      </w:r>
      <w:r w:rsidR="00BF50C4">
        <w:t xml:space="preserve">, </w:t>
      </w:r>
      <w:r w:rsidR="00331F68">
        <w:t xml:space="preserve">CSRD), </w:t>
      </w:r>
      <w:r w:rsidR="00E05C9C">
        <w:t>hvoraf dækning af taksonomien er obligatorisk for børsnoterede virksomheder med mere end 500 ansatte fra 1 januar 2022 og graden af bæredygtige aktiviteter som er obligatorisk fra 1 januar 2023. Fremadretttet skal</w:t>
      </w:r>
      <w:r w:rsidR="0040460C">
        <w:t xml:space="preserve"> </w:t>
      </w:r>
      <w:r w:rsidR="0071144B">
        <w:t xml:space="preserve">virksomhedens </w:t>
      </w:r>
      <w:r w:rsidR="00331F68">
        <w:t>revisorer</w:t>
      </w:r>
      <w:r w:rsidR="003E6C6B">
        <w:t xml:space="preserve"> </w:t>
      </w:r>
      <w:r w:rsidR="00331F68">
        <w:t xml:space="preserve">kontrollere </w:t>
      </w:r>
      <w:r w:rsidR="00E05C9C">
        <w:t xml:space="preserve">dette </w:t>
      </w:r>
      <w:r w:rsidR="0071144B">
        <w:t>hvis</w:t>
      </w:r>
      <w:r w:rsidR="00331F68">
        <w:t xml:space="preserve"> virksomhede</w:t>
      </w:r>
      <w:r w:rsidR="0071144B">
        <w:t>n</w:t>
      </w:r>
      <w:r w:rsidR="00331F68">
        <w:t xml:space="preserve"> </w:t>
      </w:r>
      <w:r w:rsidR="0071144B">
        <w:t xml:space="preserve">er </w:t>
      </w:r>
      <w:r w:rsidR="00331F68">
        <w:t>over en vis størrelse (regnskabskategori C+ i Danmark). Det politiske mål med lovgivningen er at give reelt grønne økonomiske aktiviteter nemmere adgang til grøn finansiering.</w:t>
      </w:r>
    </w:p>
    <w:p w14:paraId="443066CF" w14:textId="65ED01D4" w:rsidR="00331F68" w:rsidRDefault="00331F68" w:rsidP="00780DC0">
      <w:r>
        <w:t xml:space="preserve">Taksonomien er bygget op om seks </w:t>
      </w:r>
      <w:r w:rsidR="00C6328D">
        <w:t>kategorier af grønne mål</w:t>
      </w:r>
      <w:r w:rsidR="0071144B">
        <w:t>, med en syvende hjælpekategori om sociale minimumskrav</w:t>
      </w:r>
      <w:r>
        <w:t>:</w:t>
      </w:r>
    </w:p>
    <w:p w14:paraId="0FE4DCB5" w14:textId="77777777" w:rsidR="00331F68" w:rsidRDefault="00331F68" w:rsidP="00780DC0">
      <w:r>
        <w:t>1. Modvirkning af klimaændringer</w:t>
      </w:r>
    </w:p>
    <w:p w14:paraId="59F3C67F" w14:textId="77777777" w:rsidR="00331F68" w:rsidRDefault="00331F68" w:rsidP="00780DC0">
      <w:r>
        <w:t>2. Tilpasning til klimaændringer</w:t>
      </w:r>
    </w:p>
    <w:p w14:paraId="7812DF8F" w14:textId="77777777" w:rsidR="00331F68" w:rsidRDefault="00331F68" w:rsidP="00780DC0">
      <w:r>
        <w:t>3. Bæredygtig anvendelse og beskyttelse af vand- og havressourcer</w:t>
      </w:r>
    </w:p>
    <w:p w14:paraId="07176099" w14:textId="77777777" w:rsidR="00331F68" w:rsidRDefault="00331F68" w:rsidP="00780DC0">
      <w:r>
        <w:t>4. Omstilling til en cirkulær økonomi</w:t>
      </w:r>
    </w:p>
    <w:p w14:paraId="26E17393" w14:textId="77777777" w:rsidR="00331F68" w:rsidRDefault="00331F68" w:rsidP="00780DC0">
      <w:r>
        <w:t>5. Forebyggelse og bekæmpelse af forurening</w:t>
      </w:r>
    </w:p>
    <w:p w14:paraId="321B8567" w14:textId="617D07A7" w:rsidR="00331F68" w:rsidRDefault="00331F68" w:rsidP="00780DC0">
      <w:r>
        <w:t>6. Beskyttelse og genopretning af biodiversitet og økosystemer</w:t>
      </w:r>
    </w:p>
    <w:p w14:paraId="149B76E6" w14:textId="60BB2F0A" w:rsidR="00E05C9C" w:rsidRDefault="0071144B" w:rsidP="00780DC0">
      <w:r>
        <w:t>(</w:t>
      </w:r>
      <w:r w:rsidR="00E05C9C">
        <w:t>7</w:t>
      </w:r>
      <w:r>
        <w:t>)</w:t>
      </w:r>
      <w:r w:rsidR="00E05C9C">
        <w:t>. Sociale minimumskrav</w:t>
      </w:r>
    </w:p>
    <w:p w14:paraId="071D1466" w14:textId="3A8BAB2D" w:rsidR="00331F68" w:rsidRDefault="00331F68" w:rsidP="00780DC0">
      <w:r>
        <w:t>Disse er ikke nye i forbindelse med denne lovgivning, men bygger derimod på det videnskabelige</w:t>
      </w:r>
      <w:r w:rsidR="0071144B">
        <w:t xml:space="preserve"> of samfundsmæssige</w:t>
      </w:r>
      <w:r>
        <w:t xml:space="preserve"> grundlag som findes om bæredygtighed</w:t>
      </w:r>
      <w:r w:rsidR="00E05C9C">
        <w:t xml:space="preserve"> (og vi anvender derfor bæredygtighed som samlet begreb for definitionen)</w:t>
      </w:r>
      <w:r>
        <w:t xml:space="preserve">. </w:t>
      </w:r>
      <w:r w:rsidR="00C6328D">
        <w:t>De vil derfor også være genkendelige og ikke nye, for de som allerede arbejder med bæredygtighed. Således rummer fx modvirkning af klimaændringer et fokus på at øge andelen af bæredygtig energi i forhold til total energi, mens omstilling til ressourceeffektiv og cirkulær økonomi er en helt egen kategori i taksonomien</w:t>
      </w:r>
      <w:r w:rsidR="00A417AC">
        <w:t>, i forlængelse af det bidrag til bæredygtighed som cirkularitet bringer (Ellen Macarthur 2015)</w:t>
      </w:r>
      <w:r w:rsidR="00C6328D">
        <w:t>.</w:t>
      </w:r>
    </w:p>
    <w:p w14:paraId="18CEB38F" w14:textId="66065C0A" w:rsidR="00BA7C20" w:rsidRDefault="00C6328D" w:rsidP="00780DC0">
      <w:r>
        <w:t>Grundprincippet er, at en økonomisk aktivitet kategori</w:t>
      </w:r>
      <w:r w:rsidR="002D296F">
        <w:t>ser</w:t>
      </w:r>
      <w:r>
        <w:t>es som grøn, hvis den rummer en betydelig forbedring på et af kriterierne, og samtidigt ikke gør væsentlig skade på de øvrige fem.</w:t>
      </w:r>
      <w:r w:rsidR="0040460C">
        <w:t xml:space="preserve"> </w:t>
      </w:r>
      <w:r>
        <w:t>Det betyder at meget forskellige aktiviteter samles kan kategoriseres som grønne. Har man for eksempel en økonomisk aktivitet, der øger andelen af vedvarende energi forhold til total energi, såsom et system, der kan skifte elforbrug til når VE-andelen i nettet er høj, og en anden økonomisk aktivitet, der øger den cirkulære økonomi fx en vaskemaskine, der gør at mere plastic kan genanvendes, så vil begge antageligt overholde kriteriet om et væsentligt bidrag på et af kriterierne.</w:t>
      </w:r>
      <w:r w:rsidR="0040460C">
        <w:t xml:space="preserve"> </w:t>
      </w:r>
      <w:r>
        <w:t>Antaget at de ikke gør skade på de andre fem, så vil de begge kunne kategori</w:t>
      </w:r>
      <w:r w:rsidR="00BA7C20">
        <w:t>seres som grønne.</w:t>
      </w:r>
    </w:p>
    <w:p w14:paraId="2A255CBA" w14:textId="5C382713" w:rsidR="00BA7C20" w:rsidRDefault="00BA7C20" w:rsidP="00780DC0">
      <w:r>
        <w:t>I praksis skal man dog antage at man overholder kriterierne. Der er udarbejdet et detaljeret katalog efter brancher, som en virksomhed eller dens rådgiver kan slå op i.</w:t>
      </w:r>
      <w:r w:rsidR="0040460C">
        <w:t xml:space="preserve"> </w:t>
      </w:r>
      <w:r>
        <w:t>For den enkelte virksomhed vil den relevante kategorisering fra opslagsværket være nogle få side</w:t>
      </w:r>
      <w:r w:rsidR="002D296F">
        <w:t>r.</w:t>
      </w:r>
    </w:p>
    <w:p w14:paraId="163268BC" w14:textId="4F1D4A33" w:rsidR="00331F68" w:rsidRDefault="00BA7C20" w:rsidP="00780DC0">
      <w:r>
        <w:t>Meget forskellige grønne økonomiske aktiviteter kan således samles og vil fx</w:t>
      </w:r>
      <w:r w:rsidR="00C6328D">
        <w:t xml:space="preserve"> kunne finansieres med samme grønne obligation.</w:t>
      </w:r>
      <w:r w:rsidR="0040460C">
        <w:t xml:space="preserve"> </w:t>
      </w:r>
      <w:r>
        <w:t>Det har stor betydning for den finansielle sektors risikostyring at kunne samle forskellige økonomiske aktiviteter i samme finansielle struktur, så der kan bygges større volumen i grøn finansiering.</w:t>
      </w:r>
      <w:r w:rsidR="0040460C">
        <w:t xml:space="preserve"> </w:t>
      </w:r>
      <w:r>
        <w:t>For virksomheder bliver det således attraktivt at vise at man overholder taksonomiens kriterier, da man således for adgang til grøn finansiering.</w:t>
      </w:r>
      <w:r w:rsidR="0040460C">
        <w:t xml:space="preserve"> </w:t>
      </w:r>
      <w:r>
        <w:t>Det er netop en gulerod til grøn omstilling via adgang til grøn finansiering, som må formodes at være det politiske formål for lovgiverne med at lave denne lovgivning.</w:t>
      </w:r>
    </w:p>
    <w:p w14:paraId="48BDD9FB" w14:textId="51B53EAE" w:rsidR="003A7E1F" w:rsidRDefault="003A7E1F">
      <w:pPr>
        <w:spacing w:after="0" w:line="240" w:lineRule="auto"/>
      </w:pPr>
      <w:r>
        <w:br w:type="page"/>
      </w:r>
    </w:p>
    <w:p w14:paraId="663B8BBC" w14:textId="4D855875" w:rsidR="00A11D24" w:rsidRPr="00DE14A5" w:rsidRDefault="003A7E1F" w:rsidP="003A7E1F">
      <w:pPr>
        <w:pStyle w:val="Overskrift1"/>
        <w:rPr>
          <w:b/>
          <w:bCs/>
          <w:sz w:val="32"/>
          <w:szCs w:val="36"/>
        </w:rPr>
      </w:pPr>
      <w:bookmarkStart w:id="5" w:name="_Toc112184342"/>
      <w:r w:rsidRPr="00DE14A5">
        <w:rPr>
          <w:b/>
          <w:bCs/>
          <w:sz w:val="32"/>
          <w:szCs w:val="36"/>
        </w:rPr>
        <w:t xml:space="preserve">1. </w:t>
      </w:r>
      <w:r w:rsidR="00BC1BCD" w:rsidRPr="00DE14A5">
        <w:rPr>
          <w:b/>
          <w:bCs/>
          <w:sz w:val="32"/>
          <w:szCs w:val="36"/>
        </w:rPr>
        <w:t>Redegørelse</w:t>
      </w:r>
      <w:bookmarkEnd w:id="5"/>
      <w:r w:rsidR="00BC1BCD" w:rsidRPr="00DE14A5">
        <w:rPr>
          <w:b/>
          <w:bCs/>
          <w:sz w:val="32"/>
          <w:szCs w:val="36"/>
        </w:rPr>
        <w:t xml:space="preserve"> </w:t>
      </w:r>
    </w:p>
    <w:p w14:paraId="55558A4E" w14:textId="769D0CD2" w:rsidR="00974818" w:rsidRPr="00DE14A5" w:rsidRDefault="00974818" w:rsidP="00D64474"/>
    <w:p w14:paraId="0201D9E4" w14:textId="3C3AB1A4" w:rsidR="00280064" w:rsidRPr="00DE14A5" w:rsidRDefault="00280064" w:rsidP="00D64474">
      <w:r w:rsidRPr="00DE14A5">
        <w:t>Redegørelsen er opbygget sådan at hver del</w:t>
      </w:r>
      <w:r w:rsidR="00F64F4D">
        <w:t xml:space="preserve"> </w:t>
      </w:r>
      <w:r w:rsidRPr="00DE14A5">
        <w:t xml:space="preserve">af </w:t>
      </w:r>
      <w:r w:rsidR="00F64F4D">
        <w:t xml:space="preserve">undersøgelsen gennemgås for først Danmark og derefter Sverige. </w:t>
      </w:r>
    </w:p>
    <w:p w14:paraId="743F885C" w14:textId="778653A8" w:rsidR="00280064" w:rsidRPr="00C155A9" w:rsidRDefault="00003B3C" w:rsidP="00DE14A5">
      <w:pPr>
        <w:pStyle w:val="Overskrift2"/>
        <w:rPr>
          <w:b/>
          <w:bCs/>
        </w:rPr>
      </w:pPr>
      <w:bookmarkStart w:id="6" w:name="_Toc112184343"/>
      <w:r w:rsidRPr="00C155A9">
        <w:rPr>
          <w:b/>
          <w:bCs/>
          <w:sz w:val="22"/>
          <w:szCs w:val="22"/>
        </w:rPr>
        <w:t>1.2 Virksomhedernes arbejde med bæredygtigt og taksonomien (DK)</w:t>
      </w:r>
      <w:bookmarkEnd w:id="6"/>
    </w:p>
    <w:p w14:paraId="65425AD2" w14:textId="77777777" w:rsidR="00843E0E" w:rsidRDefault="00843E0E" w:rsidP="009D310B"/>
    <w:p w14:paraId="5DF7B634" w14:textId="6AA33F23" w:rsidR="00843E0E" w:rsidRDefault="00F6056D" w:rsidP="00843E0E">
      <w:pPr>
        <w:spacing w:after="0"/>
      </w:pPr>
      <w:r w:rsidRPr="00F6056D">
        <w:t>Dette afsnit er opdelt i to. Først gennemgås (i afsnit 1.2.1) resultaterne af en undersøgelse med 116 svar om danske virksomheders arbejde med bæredygtighed (RSK 2022). Undersøgelsen dækker på tværs af brancher i det private og på tværs af størrelser. Derefter fokuseres ind på (i afsnit 1.2.2) de store danske virksomheder som nu er direkte underlagt taksonomilovgivningen, altså børsnoterede virksomheder med mere end 500 ansatte.</w:t>
      </w:r>
    </w:p>
    <w:p w14:paraId="6EE8C1FD" w14:textId="77777777" w:rsidR="00F6056D" w:rsidRPr="00843E0E" w:rsidRDefault="00F6056D" w:rsidP="00843E0E">
      <w:pPr>
        <w:spacing w:after="0"/>
      </w:pPr>
    </w:p>
    <w:p w14:paraId="50FB1BD8" w14:textId="71D11828" w:rsidR="00974818" w:rsidRPr="00A812A9" w:rsidRDefault="00974818" w:rsidP="006B2235">
      <w:pPr>
        <w:pStyle w:val="Overskrift3"/>
      </w:pPr>
      <w:bookmarkStart w:id="7" w:name="_Toc112184344"/>
      <w:r w:rsidRPr="0047568B">
        <w:t>1.2</w:t>
      </w:r>
      <w:r w:rsidR="00F64F4D" w:rsidRPr="0047568B">
        <w:t>.1</w:t>
      </w:r>
      <w:r w:rsidRPr="0047568B">
        <w:t xml:space="preserve"> Virksomheders arbejde med </w:t>
      </w:r>
      <w:r w:rsidR="00BA7C20" w:rsidRPr="0047568B">
        <w:t>bæredygtighed</w:t>
      </w:r>
      <w:r w:rsidR="0047568B">
        <w:t xml:space="preserve"> -Alle størrelser</w:t>
      </w:r>
      <w:r w:rsidRPr="00DE14A5">
        <w:t xml:space="preserve"> (DK)</w:t>
      </w:r>
      <w:bookmarkEnd w:id="7"/>
    </w:p>
    <w:p w14:paraId="2061D5C3" w14:textId="2E2A6A44" w:rsidR="00974818" w:rsidRPr="00607E79" w:rsidRDefault="00974818" w:rsidP="00D64474">
      <w:r w:rsidRPr="00607E79">
        <w:t>- det ikke EU pakken – det er bæredygtighed</w:t>
      </w:r>
    </w:p>
    <w:p w14:paraId="23C349EF" w14:textId="0A26EDD0" w:rsidR="00DF6472" w:rsidRDefault="00DF6472" w:rsidP="00D64474">
      <w:r>
        <w:t>I dette afsnit gennemgås resultaterne af et spørgeskema udsendt til virksomheder med aktivitet i Ringkøbing Skjern kommune gennemført i vinteren 2022 (RSK 2022). Undersøgelsen refereres til i det følgende som ”Su</w:t>
      </w:r>
      <w:r w:rsidR="00F84979">
        <w:t>r</w:t>
      </w:r>
      <w:r>
        <w:t>vey”</w:t>
      </w:r>
      <w:r w:rsidR="00843E0E">
        <w:t>.</w:t>
      </w:r>
    </w:p>
    <w:p w14:paraId="4DC7D50D" w14:textId="1C9BFD33" w:rsidR="00974818" w:rsidRPr="00DE29A1" w:rsidRDefault="00DE29A1" w:rsidP="00D64474">
      <w:r w:rsidRPr="00974818">
        <w:t>S</w:t>
      </w:r>
      <w:r w:rsidR="00974818" w:rsidRPr="00974818">
        <w:t>urvey</w:t>
      </w:r>
      <w:r w:rsidR="00DF6472">
        <w:t>et viser at</w:t>
      </w:r>
      <w:r w:rsidR="003E6C6B">
        <w:t xml:space="preserve"> </w:t>
      </w:r>
      <w:r w:rsidR="00DF6472">
        <w:t>mere end</w:t>
      </w:r>
      <w:r w:rsidRPr="00DE29A1">
        <w:t xml:space="preserve"> 2 ud af 3 virksomheder angiver, at de vælger produkter og ydelser med reduceret miljøpåvirkning</w:t>
      </w:r>
      <w:r w:rsidR="003218F8">
        <w:t xml:space="preserve"> (survey)</w:t>
      </w:r>
    </w:p>
    <w:p w14:paraId="456FA965" w14:textId="187B255A" w:rsidR="00974818" w:rsidRDefault="00DE29A1" w:rsidP="00D64474">
      <w:r w:rsidRPr="00DE29A1">
        <w:t>Mere end 50% ved ikke</w:t>
      </w:r>
      <w:r>
        <w:t xml:space="preserve"> </w:t>
      </w:r>
      <w:r w:rsidRPr="00DE29A1">
        <w:t>hvord</w:t>
      </w:r>
      <w:r>
        <w:t>a</w:t>
      </w:r>
      <w:r w:rsidRPr="00DE29A1">
        <w:t xml:space="preserve">n de skal gå i gang (Erhvervsstyrelsen) </w:t>
      </w:r>
    </w:p>
    <w:p w14:paraId="0B2AF13E" w14:textId="347CB7CF" w:rsidR="003218F8" w:rsidRPr="003218F8" w:rsidRDefault="003218F8" w:rsidP="00DE14A5">
      <w:pPr>
        <w:ind w:left="720"/>
      </w:pPr>
      <w:r w:rsidRPr="003218F8">
        <w:t>Under halvdelen af virksomhederne angiver, at de vælger leverandører med hensyn til miljøet</w:t>
      </w:r>
      <w:r>
        <w:t xml:space="preserve"> (survey) </w:t>
      </w:r>
    </w:p>
    <w:p w14:paraId="68E183BB" w14:textId="77777777" w:rsidR="007E1147" w:rsidRPr="007E1147" w:rsidRDefault="007E1147" w:rsidP="007E1147">
      <w:r w:rsidRPr="007E1147">
        <w:t>Størstedelen af virksomhederne arbejder med at reducere deres miljøpåvirkning</w:t>
      </w:r>
    </w:p>
    <w:p w14:paraId="1F3D2BE0" w14:textId="1E146C03" w:rsidR="007E1147" w:rsidRDefault="006F57A0" w:rsidP="00DE14A5">
      <w:r w:rsidRPr="007E1147">
        <w:t>Over 2 ud af 3 virksomheder angiver, at de vælger produkter og ydelser med reduceret miljøpåvirkning og løbende søger at effektivisere deres energiforbrug</w:t>
      </w:r>
    </w:p>
    <w:p w14:paraId="74DD3C0F" w14:textId="347C4A5A" w:rsidR="009A087F" w:rsidRPr="007E1147" w:rsidRDefault="006F57A0" w:rsidP="00DE14A5">
      <w:r w:rsidRPr="007E1147">
        <w:t>Under halvdelen af virksomhederne angiver, at de vælger leverandører med hensyn til miljøet</w:t>
      </w:r>
    </w:p>
    <w:p w14:paraId="4754B88C" w14:textId="021E4363" w:rsidR="003218F8" w:rsidRDefault="003218F8" w:rsidP="00D64474"/>
    <w:p w14:paraId="0A3DFF71" w14:textId="6AD87FF7" w:rsidR="007E1147" w:rsidRPr="007E1147" w:rsidRDefault="00DF6472" w:rsidP="007E1147">
      <w:r>
        <w:rPr>
          <w:i/>
          <w:iCs/>
        </w:rPr>
        <w:t xml:space="preserve">Figur 1 </w:t>
      </w:r>
      <w:r w:rsidR="007E1147" w:rsidRPr="007E1147">
        <w:rPr>
          <w:i/>
          <w:iCs/>
        </w:rPr>
        <w:t>Spørgsmål: Dette spørgsmål handler om bæredygtighed i forhold til virksomhedens arbejde med at reducere miljøpåvirkningen. Du bedes vurdere, hvor enig eller uenig du er i følgende udsagn:</w:t>
      </w:r>
    </w:p>
    <w:p w14:paraId="41CE9DD7" w14:textId="5056C291" w:rsidR="007E1147" w:rsidRDefault="007E1147" w:rsidP="00D64474">
      <w:r w:rsidRPr="007E1147">
        <w:rPr>
          <w:noProof/>
          <w:lang w:eastAsia="da-DK"/>
        </w:rPr>
        <w:drawing>
          <wp:inline distT="0" distB="0" distL="0" distR="0" wp14:anchorId="2B731FAD" wp14:editId="4480ABC8">
            <wp:extent cx="6120130" cy="1885950"/>
            <wp:effectExtent l="0" t="0" r="0" b="0"/>
            <wp:docPr id="6"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pic:cNvPicPr>
                      <a:picLocks noChangeAspect="1"/>
                    </pic:cNvPicPr>
                  </pic:nvPicPr>
                  <pic:blipFill>
                    <a:blip r:embed="rId8"/>
                    <a:stretch>
                      <a:fillRect/>
                    </a:stretch>
                  </pic:blipFill>
                  <pic:spPr>
                    <a:xfrm>
                      <a:off x="0" y="0"/>
                      <a:ext cx="6120130" cy="1885950"/>
                    </a:xfrm>
                    <a:prstGeom prst="rect">
                      <a:avLst/>
                    </a:prstGeom>
                    <a:ln>
                      <a:noFill/>
                    </a:ln>
                  </pic:spPr>
                </pic:pic>
              </a:graphicData>
            </a:graphic>
          </wp:inline>
        </w:drawing>
      </w:r>
    </w:p>
    <w:p w14:paraId="05606EC2" w14:textId="7F556876" w:rsidR="007E1147" w:rsidRDefault="007E1147" w:rsidP="00D64474"/>
    <w:p w14:paraId="0A956D68" w14:textId="5429A6B9" w:rsidR="007E1147" w:rsidRDefault="007E1147" w:rsidP="00D64474">
      <w:r w:rsidRPr="007E1147">
        <w:t>Over 75 procent af virksomhederne angiver at arbejde med bæredygtighed ved at udvikle langsigtede relationer med leverandører</w:t>
      </w:r>
    </w:p>
    <w:p w14:paraId="1D20D217" w14:textId="77777777" w:rsidR="009A087F" w:rsidRPr="007E1147" w:rsidRDefault="006F57A0" w:rsidP="007E1147">
      <w:pPr>
        <w:numPr>
          <w:ilvl w:val="0"/>
          <w:numId w:val="6"/>
        </w:numPr>
      </w:pPr>
      <w:r w:rsidRPr="007E1147">
        <w:t>Halvdelen af virksomhederne mener, at deres produkter og ydelser kendetegnes ved bæredygtighed</w:t>
      </w:r>
    </w:p>
    <w:p w14:paraId="1D0FB7DB" w14:textId="77777777" w:rsidR="007E1147" w:rsidRPr="003218F8" w:rsidRDefault="007E1147" w:rsidP="00D64474"/>
    <w:p w14:paraId="4F5B6DBC" w14:textId="3E202F3F" w:rsidR="007E1147" w:rsidRDefault="00DF6472" w:rsidP="00D64474">
      <w:r>
        <w:rPr>
          <w:i/>
          <w:iCs/>
        </w:rPr>
        <w:t xml:space="preserve">Figur 2 </w:t>
      </w:r>
      <w:r w:rsidR="007E1147" w:rsidRPr="007E1147">
        <w:rPr>
          <w:i/>
          <w:iCs/>
        </w:rPr>
        <w:t>Spørgsmål: Dette spørgsmål handler om hvordan virksomheden arbejder med bæredygtighed. Hvor enig eller uenig du er i følgende udsagn om din virksomhed</w:t>
      </w:r>
    </w:p>
    <w:p w14:paraId="29497761" w14:textId="3EC96604" w:rsidR="00974818" w:rsidRDefault="007E1147" w:rsidP="00D64474">
      <w:r w:rsidRPr="007E1147">
        <w:rPr>
          <w:noProof/>
          <w:lang w:eastAsia="da-DK"/>
        </w:rPr>
        <w:drawing>
          <wp:inline distT="0" distB="0" distL="0" distR="0" wp14:anchorId="5879F5CA" wp14:editId="41969974">
            <wp:extent cx="6120130" cy="1096645"/>
            <wp:effectExtent l="0" t="0" r="0" b="8255"/>
            <wp:docPr id="7"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6"/>
                    <pic:cNvPicPr>
                      <a:picLocks noChangeAspect="1"/>
                    </pic:cNvPicPr>
                  </pic:nvPicPr>
                  <pic:blipFill>
                    <a:blip r:embed="rId9"/>
                    <a:stretch>
                      <a:fillRect/>
                    </a:stretch>
                  </pic:blipFill>
                  <pic:spPr>
                    <a:xfrm>
                      <a:off x="0" y="0"/>
                      <a:ext cx="6120130" cy="1096645"/>
                    </a:xfrm>
                    <a:prstGeom prst="rect">
                      <a:avLst/>
                    </a:prstGeom>
                    <a:ln>
                      <a:noFill/>
                    </a:ln>
                  </pic:spPr>
                </pic:pic>
              </a:graphicData>
            </a:graphic>
          </wp:inline>
        </w:drawing>
      </w:r>
    </w:p>
    <w:p w14:paraId="5482F7A7" w14:textId="2CA5DD9F" w:rsidR="007E1147" w:rsidRDefault="007E1147" w:rsidP="00D64474"/>
    <w:p w14:paraId="7A83C750" w14:textId="77777777" w:rsidR="007E1147" w:rsidRPr="007E1147" w:rsidRDefault="007E1147" w:rsidP="007E1147">
      <w:r w:rsidRPr="007E1147">
        <w:t>Virksomhederne satser på medarbejderne i arbejdet med bæredygtighed</w:t>
      </w:r>
    </w:p>
    <w:p w14:paraId="3272336F" w14:textId="4FE819F1" w:rsidR="007E1147" w:rsidRPr="007E1147" w:rsidRDefault="00DF6472" w:rsidP="007E1147">
      <w:r>
        <w:rPr>
          <w:i/>
          <w:iCs/>
        </w:rPr>
        <w:t xml:space="preserve">Figur 3 </w:t>
      </w:r>
      <w:r w:rsidR="007E1147" w:rsidRPr="007E1147">
        <w:rPr>
          <w:i/>
          <w:iCs/>
        </w:rPr>
        <w:t>Spørgsmål: Dette spørgsmål har fokus på, hvilke bæredygtige tiltag din virksomhed gør. Hvilke af følgende tiltag arbejder din virksomhed aktuelt med inden for bæredygtighed?</w:t>
      </w:r>
    </w:p>
    <w:p w14:paraId="7233D57B" w14:textId="65D7611A" w:rsidR="007E1147" w:rsidRDefault="007E1147" w:rsidP="00D64474">
      <w:r w:rsidRPr="007E1147">
        <w:rPr>
          <w:noProof/>
          <w:lang w:eastAsia="da-DK"/>
        </w:rPr>
        <w:drawing>
          <wp:inline distT="0" distB="0" distL="0" distR="0" wp14:anchorId="12B520ED" wp14:editId="49BCEEF3">
            <wp:extent cx="5978415" cy="3974260"/>
            <wp:effectExtent l="0" t="0" r="3810" b="7620"/>
            <wp:docPr id="9"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pic:cNvPicPr>
                      <a:picLocks noChangeAspect="1"/>
                    </pic:cNvPicPr>
                  </pic:nvPicPr>
                  <pic:blipFill>
                    <a:blip r:embed="rId10"/>
                    <a:stretch>
                      <a:fillRect/>
                    </a:stretch>
                  </pic:blipFill>
                  <pic:spPr>
                    <a:xfrm>
                      <a:off x="0" y="0"/>
                      <a:ext cx="5978415" cy="3974260"/>
                    </a:xfrm>
                    <a:prstGeom prst="rect">
                      <a:avLst/>
                    </a:prstGeom>
                  </pic:spPr>
                </pic:pic>
              </a:graphicData>
            </a:graphic>
          </wp:inline>
        </w:drawing>
      </w:r>
    </w:p>
    <w:p w14:paraId="163D560F" w14:textId="77777777" w:rsidR="009A087F" w:rsidRPr="007E1147" w:rsidRDefault="006F57A0" w:rsidP="007E1147">
      <w:pPr>
        <w:numPr>
          <w:ilvl w:val="0"/>
          <w:numId w:val="8"/>
        </w:numPr>
      </w:pPr>
      <w:r w:rsidRPr="007E1147">
        <w:t>De mest udbredte tiltag er at motivere medarbejderne til at have bæredygtige arbejdsrutiner og mindske deres CO</w:t>
      </w:r>
      <w:r w:rsidRPr="007E1147">
        <w:rPr>
          <w:vertAlign w:val="subscript"/>
        </w:rPr>
        <w:t>2</w:t>
      </w:r>
      <w:r w:rsidRPr="007E1147">
        <w:t>-udslip i det daglige arbejde</w:t>
      </w:r>
    </w:p>
    <w:p w14:paraId="4A1B32A6" w14:textId="77777777" w:rsidR="009A087F" w:rsidRPr="007E1147" w:rsidRDefault="006F57A0" w:rsidP="007E1147">
      <w:pPr>
        <w:numPr>
          <w:ilvl w:val="0"/>
          <w:numId w:val="8"/>
        </w:numPr>
      </w:pPr>
      <w:r w:rsidRPr="007E1147">
        <w:t>Cirka halvdelen af virksomhederne har en dialog om bæredygtighed med andre virksomheder</w:t>
      </w:r>
    </w:p>
    <w:p w14:paraId="1072E2CC" w14:textId="77777777" w:rsidR="009A087F" w:rsidRPr="007E1147" w:rsidRDefault="006F57A0" w:rsidP="007E1147">
      <w:pPr>
        <w:numPr>
          <w:ilvl w:val="0"/>
          <w:numId w:val="8"/>
        </w:numPr>
      </w:pPr>
      <w:r w:rsidRPr="007E1147">
        <w:t>Under halvdelen af virksomhederne har gjort følgende tiltag:</w:t>
      </w:r>
    </w:p>
    <w:p w14:paraId="22737371" w14:textId="77777777" w:rsidR="009A087F" w:rsidRPr="007E1147" w:rsidRDefault="006F57A0" w:rsidP="007E1147">
      <w:pPr>
        <w:numPr>
          <w:ilvl w:val="1"/>
          <w:numId w:val="8"/>
        </w:numPr>
      </w:pPr>
      <w:r w:rsidRPr="007E1147">
        <w:t>Gjort klimaet til et centralt strategisk spørgsmål</w:t>
      </w:r>
    </w:p>
    <w:p w14:paraId="42208CE5" w14:textId="77777777" w:rsidR="009A087F" w:rsidRPr="007E1147" w:rsidRDefault="006F57A0" w:rsidP="007E1147">
      <w:pPr>
        <w:numPr>
          <w:ilvl w:val="1"/>
          <w:numId w:val="8"/>
        </w:numPr>
      </w:pPr>
      <w:r w:rsidRPr="007E1147">
        <w:t>Løbende opdatering på viden om bæredygtighed</w:t>
      </w:r>
    </w:p>
    <w:p w14:paraId="75C9F4AC" w14:textId="77777777" w:rsidR="009A087F" w:rsidRPr="007E1147" w:rsidRDefault="006F57A0" w:rsidP="007E1147">
      <w:pPr>
        <w:numPr>
          <w:ilvl w:val="1"/>
          <w:numId w:val="8"/>
        </w:numPr>
      </w:pPr>
      <w:r w:rsidRPr="007E1147">
        <w:t>Kobling af alt udviklingsarbejde til bæredygtighed</w:t>
      </w:r>
    </w:p>
    <w:p w14:paraId="5FBC4F43" w14:textId="77777777" w:rsidR="009A087F" w:rsidRPr="007E1147" w:rsidRDefault="006F57A0" w:rsidP="007E1147">
      <w:pPr>
        <w:numPr>
          <w:ilvl w:val="1"/>
          <w:numId w:val="8"/>
        </w:numPr>
      </w:pPr>
      <w:r w:rsidRPr="007E1147">
        <w:t>Regelmæssige møder med henblik på at diskutere bæredygtighed</w:t>
      </w:r>
    </w:p>
    <w:p w14:paraId="5639A304" w14:textId="77777777" w:rsidR="009A087F" w:rsidRPr="007E1147" w:rsidRDefault="006F57A0" w:rsidP="007E1147">
      <w:pPr>
        <w:numPr>
          <w:ilvl w:val="0"/>
          <w:numId w:val="8"/>
        </w:numPr>
      </w:pPr>
      <w:r w:rsidRPr="007E1147">
        <w:t>23 procent af virksomhederne anser det ikke relevant at koble udviklingsarbejde til bæredygtighed</w:t>
      </w:r>
    </w:p>
    <w:p w14:paraId="3EE76F04" w14:textId="77777777" w:rsidR="007E1147" w:rsidRPr="007E1147" w:rsidRDefault="007E1147" w:rsidP="00DE14A5">
      <w:r w:rsidRPr="007E1147">
        <w:t>Over halvdelen af virksomhederne planlægger i høj grad at arbejde bredt med bæredygtighed det kommende år</w:t>
      </w:r>
    </w:p>
    <w:p w14:paraId="5E2F6A72" w14:textId="77777777" w:rsidR="009A087F" w:rsidRPr="007E1147" w:rsidRDefault="006F57A0" w:rsidP="007E1147">
      <w:pPr>
        <w:numPr>
          <w:ilvl w:val="0"/>
          <w:numId w:val="9"/>
        </w:numPr>
      </w:pPr>
      <w:r w:rsidRPr="007E1147">
        <w:t>3 ud af 4 virksomheder angiver, at de planlægger at arbejde med økonomisk bæredygtighed og derefter kommer social og miljømæssig bæredygtighed</w:t>
      </w:r>
    </w:p>
    <w:p w14:paraId="5C136E8E" w14:textId="77777777" w:rsidR="009A087F" w:rsidRPr="007E1147" w:rsidRDefault="006F57A0" w:rsidP="007E1147">
      <w:pPr>
        <w:numPr>
          <w:ilvl w:val="0"/>
          <w:numId w:val="9"/>
        </w:numPr>
      </w:pPr>
      <w:r w:rsidRPr="007E1147">
        <w:t>Halvdelen af virksomhederne angiver, at de planlægger at arbejde med miljømæssig bæredygtighed</w:t>
      </w:r>
    </w:p>
    <w:p w14:paraId="64701EC6" w14:textId="77777777" w:rsidR="007E1147" w:rsidRDefault="006F57A0" w:rsidP="007E1147">
      <w:pPr>
        <w:numPr>
          <w:ilvl w:val="0"/>
          <w:numId w:val="9"/>
        </w:numPr>
      </w:pPr>
      <w:r w:rsidRPr="007E1147">
        <w:t>3 ud af 4 virksomheder angiver, at de planlægger at arbejde med økonomisk bæredygtighed og derefter kommer social og miljømæssig bæredygtighed</w:t>
      </w:r>
    </w:p>
    <w:p w14:paraId="5EAE29B9" w14:textId="21CCE75C" w:rsidR="007E1147" w:rsidRPr="007E1147" w:rsidRDefault="00DF6472" w:rsidP="00DE14A5">
      <w:r>
        <w:rPr>
          <w:i/>
          <w:iCs/>
        </w:rPr>
        <w:t xml:space="preserve">Figur 4 </w:t>
      </w:r>
      <w:r w:rsidR="007E1147" w:rsidRPr="007E1147">
        <w:rPr>
          <w:i/>
          <w:iCs/>
        </w:rPr>
        <w:t>Spørgsmål: I hvilken grad planægger din virksomhed at arbejde med følgende inden for det kommende år:</w:t>
      </w:r>
    </w:p>
    <w:p w14:paraId="6A578726" w14:textId="6AF4A8B9" w:rsidR="007E1147" w:rsidRDefault="007E1147" w:rsidP="00D64474">
      <w:r w:rsidRPr="007E1147">
        <w:rPr>
          <w:noProof/>
          <w:lang w:eastAsia="da-DK"/>
        </w:rPr>
        <w:drawing>
          <wp:inline distT="0" distB="0" distL="0" distR="0" wp14:anchorId="1D6EE583" wp14:editId="27FF9769">
            <wp:extent cx="6120130" cy="1468120"/>
            <wp:effectExtent l="0" t="0" r="0" b="0"/>
            <wp:docPr id="4"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pic:cNvPicPr>
                      <a:picLocks noChangeAspect="1"/>
                    </pic:cNvPicPr>
                  </pic:nvPicPr>
                  <pic:blipFill>
                    <a:blip r:embed="rId11"/>
                    <a:stretch>
                      <a:fillRect/>
                    </a:stretch>
                  </pic:blipFill>
                  <pic:spPr>
                    <a:xfrm>
                      <a:off x="0" y="0"/>
                      <a:ext cx="6120130" cy="1468120"/>
                    </a:xfrm>
                    <a:prstGeom prst="rect">
                      <a:avLst/>
                    </a:prstGeom>
                    <a:ln>
                      <a:noFill/>
                    </a:ln>
                  </pic:spPr>
                </pic:pic>
              </a:graphicData>
            </a:graphic>
          </wp:inline>
        </w:drawing>
      </w:r>
    </w:p>
    <w:p w14:paraId="46F9A9BB" w14:textId="1FEE33EE" w:rsidR="007E1147" w:rsidRDefault="007E1147" w:rsidP="00D64474"/>
    <w:p w14:paraId="104AEE02" w14:textId="7C8036BC" w:rsidR="007E1147" w:rsidRDefault="007E1147" w:rsidP="00D64474">
      <w:r w:rsidRPr="007E1147">
        <w:t>Virksomhederne finder miljømæssig bæredygtighed sværest at arbejde med</w:t>
      </w:r>
    </w:p>
    <w:p w14:paraId="6EFCD5AE" w14:textId="77777777" w:rsidR="009A087F" w:rsidRPr="0061600F" w:rsidRDefault="006F57A0" w:rsidP="0061600F">
      <w:pPr>
        <w:numPr>
          <w:ilvl w:val="0"/>
          <w:numId w:val="11"/>
        </w:numPr>
      </w:pPr>
      <w:r w:rsidRPr="0061600F">
        <w:t>3 ud af 4 virksomheder angiver, at de planlægger at arbejde med økonomisk bæredygtighed og derefter kommer social og miljømæssig bæredygtighed</w:t>
      </w:r>
    </w:p>
    <w:p w14:paraId="749E56AA" w14:textId="77777777" w:rsidR="009A087F" w:rsidRPr="0061600F" w:rsidRDefault="006F57A0" w:rsidP="0061600F">
      <w:pPr>
        <w:numPr>
          <w:ilvl w:val="0"/>
          <w:numId w:val="11"/>
        </w:numPr>
      </w:pPr>
      <w:r w:rsidRPr="0061600F">
        <w:t>Halvdelen af virksomhederne angiver, at de planlægger at arbejde med miljømæssig bæredygtighed</w:t>
      </w:r>
    </w:p>
    <w:p w14:paraId="3DD6A02B" w14:textId="713FF33E" w:rsidR="0061600F" w:rsidRPr="0061600F" w:rsidRDefault="0061600F" w:rsidP="0061600F">
      <w:r w:rsidRPr="0061600F">
        <w:rPr>
          <w:i/>
          <w:iCs/>
        </w:rPr>
        <w:t xml:space="preserve"> </w:t>
      </w:r>
      <w:r w:rsidR="00DF6472">
        <w:rPr>
          <w:i/>
          <w:iCs/>
        </w:rPr>
        <w:t xml:space="preserve">Figur 5: </w:t>
      </w:r>
      <w:r w:rsidRPr="0061600F">
        <w:rPr>
          <w:i/>
          <w:iCs/>
        </w:rPr>
        <w:t>Spørgsmål: I hvilken grad plan</w:t>
      </w:r>
      <w:r w:rsidR="002D296F">
        <w:rPr>
          <w:i/>
          <w:iCs/>
        </w:rPr>
        <w:t>l</w:t>
      </w:r>
      <w:r w:rsidRPr="0061600F">
        <w:rPr>
          <w:i/>
          <w:iCs/>
        </w:rPr>
        <w:t>ægger din virksomhed at arbejde med følgende inden for det kommende år:</w:t>
      </w:r>
    </w:p>
    <w:p w14:paraId="09FF8A16" w14:textId="07D52343" w:rsidR="007E1147" w:rsidRDefault="007E1147" w:rsidP="00D64474">
      <w:r w:rsidRPr="007E1147">
        <w:rPr>
          <w:noProof/>
          <w:lang w:eastAsia="da-DK"/>
        </w:rPr>
        <w:drawing>
          <wp:inline distT="0" distB="0" distL="0" distR="0" wp14:anchorId="16B67CE9" wp14:editId="7AC7800C">
            <wp:extent cx="6120130" cy="1487170"/>
            <wp:effectExtent l="0" t="0" r="0" b="0"/>
            <wp:docPr id="1"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pic:cNvPicPr>
                      <a:picLocks noChangeAspect="1"/>
                    </pic:cNvPicPr>
                  </pic:nvPicPr>
                  <pic:blipFill>
                    <a:blip r:embed="rId12"/>
                    <a:stretch>
                      <a:fillRect/>
                    </a:stretch>
                  </pic:blipFill>
                  <pic:spPr>
                    <a:xfrm>
                      <a:off x="0" y="0"/>
                      <a:ext cx="6120130" cy="1487170"/>
                    </a:xfrm>
                    <a:prstGeom prst="rect">
                      <a:avLst/>
                    </a:prstGeom>
                  </pic:spPr>
                </pic:pic>
              </a:graphicData>
            </a:graphic>
          </wp:inline>
        </w:drawing>
      </w:r>
    </w:p>
    <w:p w14:paraId="06D39E1A" w14:textId="1F4D34DE" w:rsidR="007E1147" w:rsidRDefault="007E1147" w:rsidP="00D64474"/>
    <w:p w14:paraId="6FF1DE12" w14:textId="77777777" w:rsidR="0061600F" w:rsidRDefault="0061600F" w:rsidP="00D64474"/>
    <w:p w14:paraId="621883F2" w14:textId="7A6567D4" w:rsidR="007E1147" w:rsidRDefault="0061600F" w:rsidP="00D64474">
      <w:r w:rsidRPr="0061600F">
        <w:t xml:space="preserve">Hvilke brancher finder det svært at arbejde med </w:t>
      </w:r>
      <w:r w:rsidRPr="0061600F">
        <w:rPr>
          <w:b/>
          <w:bCs/>
        </w:rPr>
        <w:t>miljømæssig bæredygtighed</w:t>
      </w:r>
      <w:r w:rsidRPr="0061600F">
        <w:t>?</w:t>
      </w:r>
    </w:p>
    <w:p w14:paraId="4DD2E1EA" w14:textId="14AFC46B" w:rsidR="0061600F" w:rsidRDefault="0061600F" w:rsidP="00D64474">
      <w:r w:rsidRPr="0061600F">
        <w:t>Virksomhederne påtænker i højere grad at arbejde med de dimensioner af bæredygtighed, som de finder lettest at gå i gang med</w:t>
      </w:r>
    </w:p>
    <w:p w14:paraId="6E0DBB53" w14:textId="77777777" w:rsidR="009A087F" w:rsidRPr="0061600F" w:rsidRDefault="006F57A0" w:rsidP="0061600F">
      <w:pPr>
        <w:numPr>
          <w:ilvl w:val="0"/>
          <w:numId w:val="12"/>
        </w:numPr>
      </w:pPr>
      <w:r w:rsidRPr="0061600F">
        <w:t xml:space="preserve">Virksomhederne i branchen </w:t>
      </w:r>
      <w:r w:rsidRPr="0061600F">
        <w:rPr>
          <w:b/>
          <w:bCs/>
        </w:rPr>
        <w:t xml:space="preserve">primær produktion </w:t>
      </w:r>
      <w:r w:rsidRPr="0061600F">
        <w:t>angiver, at de finder det nemmere at arbejde med miljømæssig bæredygtighed end i de andre brancher</w:t>
      </w:r>
    </w:p>
    <w:p w14:paraId="1FD85577" w14:textId="77777777" w:rsidR="009A087F" w:rsidRPr="0061600F" w:rsidRDefault="006F57A0" w:rsidP="0061600F">
      <w:pPr>
        <w:numPr>
          <w:ilvl w:val="0"/>
          <w:numId w:val="12"/>
        </w:numPr>
      </w:pPr>
      <w:r w:rsidRPr="0061600F">
        <w:t xml:space="preserve">Inden for </w:t>
      </w:r>
      <w:r w:rsidRPr="0061600F">
        <w:rPr>
          <w:b/>
          <w:bCs/>
        </w:rPr>
        <w:t>forretningsservice</w:t>
      </w:r>
      <w:r w:rsidRPr="0061600F">
        <w:t xml:space="preserve"> angiver 20 procent af alle virksomhederne, at det er meget svært at arbejde med miljømæssigbæredygtighed</w:t>
      </w:r>
    </w:p>
    <w:p w14:paraId="40ED0DEB" w14:textId="77777777" w:rsidR="0061600F" w:rsidRDefault="0061600F" w:rsidP="00D64474"/>
    <w:p w14:paraId="0D442447" w14:textId="0DA4080B" w:rsidR="0061600F" w:rsidRDefault="0061600F" w:rsidP="00D64474">
      <w:r w:rsidRPr="0061600F">
        <w:rPr>
          <w:noProof/>
          <w:lang w:eastAsia="da-DK"/>
        </w:rPr>
        <w:drawing>
          <wp:inline distT="0" distB="0" distL="0" distR="0" wp14:anchorId="45B7219E" wp14:editId="11BF49F0">
            <wp:extent cx="6120130" cy="173863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pic:cNvPicPr>
                      <a:picLocks noChangeAspect="1"/>
                    </pic:cNvPicPr>
                  </pic:nvPicPr>
                  <pic:blipFill>
                    <a:blip r:embed="rId13"/>
                    <a:stretch>
                      <a:fillRect/>
                    </a:stretch>
                  </pic:blipFill>
                  <pic:spPr>
                    <a:xfrm>
                      <a:off x="0" y="0"/>
                      <a:ext cx="6120130" cy="1738630"/>
                    </a:xfrm>
                    <a:prstGeom prst="rect">
                      <a:avLst/>
                    </a:prstGeom>
                  </pic:spPr>
                </pic:pic>
              </a:graphicData>
            </a:graphic>
          </wp:inline>
        </w:drawing>
      </w:r>
    </w:p>
    <w:p w14:paraId="78EE9B2B" w14:textId="77777777" w:rsidR="0092566C" w:rsidRPr="006B2235" w:rsidRDefault="0092566C" w:rsidP="0092566C">
      <w:pPr>
        <w:rPr>
          <w:rFonts w:ascii="Calibri" w:hAnsi="Calibri"/>
          <w:i/>
          <w:iCs/>
        </w:rPr>
      </w:pPr>
      <w:r w:rsidRPr="006B2235">
        <w:rPr>
          <w:i/>
          <w:iCs/>
        </w:rPr>
        <w:t>I stedet for ser det sådan her ud for virksomhederne i sekundær produktion i spørgeskemaet:</w:t>
      </w:r>
    </w:p>
    <w:p w14:paraId="74C3B788" w14:textId="77777777" w:rsidR="0092566C" w:rsidRPr="003E55EC" w:rsidRDefault="0092566C" w:rsidP="0092566C">
      <w:pPr>
        <w:pStyle w:val="Listeafsnit"/>
        <w:numPr>
          <w:ilvl w:val="0"/>
          <w:numId w:val="14"/>
        </w:numPr>
        <w:spacing w:after="0" w:line="240" w:lineRule="auto"/>
        <w:contextualSpacing w:val="0"/>
      </w:pPr>
      <w:r w:rsidRPr="003E55EC">
        <w:t>Overordnet svarer virksomhederne i sekundær produktion i mindre grad ”Ikke relevant” på spørgsmålene om de bæredygtige tiltag – flere af dem tager altså stilling til, om de har gjort tiltagene eller ej i stedet for at svare ”Ikke relevant”</w:t>
      </w:r>
    </w:p>
    <w:p w14:paraId="1364C070" w14:textId="77777777" w:rsidR="0092566C" w:rsidRPr="003E55EC" w:rsidRDefault="0092566C" w:rsidP="0092566C">
      <w:pPr>
        <w:pStyle w:val="Listeafsnit"/>
        <w:numPr>
          <w:ilvl w:val="0"/>
          <w:numId w:val="14"/>
        </w:numPr>
        <w:spacing w:after="0" w:line="240" w:lineRule="auto"/>
        <w:contextualSpacing w:val="0"/>
      </w:pPr>
      <w:r w:rsidRPr="003E55EC">
        <w:t xml:space="preserve">I forhold til tiltagene så svarer virksomhederne i sekundær produktion </w:t>
      </w:r>
      <w:r w:rsidRPr="003E55EC">
        <w:rPr>
          <w:u w:val="single"/>
        </w:rPr>
        <w:t>i forhold til gennemsnittet</w:t>
      </w:r>
      <w:r w:rsidRPr="003E55EC">
        <w:t>, at…</w:t>
      </w:r>
    </w:p>
    <w:p w14:paraId="1B374F0C" w14:textId="77777777" w:rsidR="0092566C" w:rsidRPr="003E55EC" w:rsidRDefault="0092566C" w:rsidP="0092566C">
      <w:pPr>
        <w:pStyle w:val="Listeafsnit"/>
        <w:numPr>
          <w:ilvl w:val="1"/>
          <w:numId w:val="14"/>
        </w:numPr>
        <w:spacing w:after="0" w:line="240" w:lineRule="auto"/>
        <w:contextualSpacing w:val="0"/>
      </w:pPr>
      <w:r w:rsidRPr="003E55EC">
        <w:t>36% flere af virksomhederne i denne branche svarer, at de arbejder med at holde regelmæssige møder, hvor de diskuterer bæredygtighed</w:t>
      </w:r>
    </w:p>
    <w:p w14:paraId="68D54EA8" w14:textId="33E04857" w:rsidR="0061600F" w:rsidRPr="003E55EC" w:rsidRDefault="0092566C" w:rsidP="0092566C">
      <w:r w:rsidRPr="003E55EC">
        <w:t>24% flere af virksomhederne i denne branche svarer, at klimaet er et centralt strategisk spørgsmål</w:t>
      </w:r>
    </w:p>
    <w:p w14:paraId="157795F1" w14:textId="2109995B" w:rsidR="0092566C" w:rsidRDefault="0092566C" w:rsidP="00D64474"/>
    <w:p w14:paraId="084D0696" w14:textId="0E0269C2" w:rsidR="00A0465A" w:rsidRDefault="00A0465A" w:rsidP="00D64474"/>
    <w:p w14:paraId="0D9FF2F9" w14:textId="77777777" w:rsidR="00A0465A" w:rsidRDefault="00A0465A" w:rsidP="00D64474"/>
    <w:p w14:paraId="0ACE7B8B" w14:textId="7FDE0DAD" w:rsidR="0092566C" w:rsidRPr="00F627FB" w:rsidRDefault="00F64F4D" w:rsidP="006B2235">
      <w:pPr>
        <w:pStyle w:val="Overskrift3"/>
      </w:pPr>
      <w:bookmarkStart w:id="8" w:name="_Toc112184345"/>
      <w:r w:rsidRPr="00F627FB">
        <w:t xml:space="preserve">1.2.2 Store virksomheders arbejde med </w:t>
      </w:r>
      <w:r w:rsidR="00AC1204" w:rsidRPr="00F627FB">
        <w:t>EU-lovpakken</w:t>
      </w:r>
      <w:r w:rsidRPr="00F627FB">
        <w:t xml:space="preserve"> </w:t>
      </w:r>
      <w:r w:rsidR="008937B5" w:rsidRPr="00F627FB">
        <w:t>(DK)</w:t>
      </w:r>
      <w:bookmarkEnd w:id="8"/>
    </w:p>
    <w:p w14:paraId="5FD4BE1F" w14:textId="6C521FC8" w:rsidR="008937B5" w:rsidRDefault="008937B5" w:rsidP="008937B5"/>
    <w:p w14:paraId="259A3CC2" w14:textId="2CE4E63A" w:rsidR="00375A22" w:rsidRDefault="00375A22" w:rsidP="008937B5">
      <w:r>
        <w:t>Via et deskstudie er det undersøgt hvordan de store børsnoterede virksomheder har rapporteret enligt taksonomien i deres årsrapporter for 2021</w:t>
      </w:r>
      <w:r w:rsidR="00DF6472">
        <w:t>. Ud af et bredere tværgående sample af virksomheder er her primært udvalgt virksomheder fra ejendoms og byggebranchen.</w:t>
      </w:r>
      <w:r>
        <w:t xml:space="preserve"> se Tabel 1 </w:t>
      </w:r>
    </w:p>
    <w:p w14:paraId="623C3F8B" w14:textId="622B3D50" w:rsidR="00851BE8" w:rsidRDefault="00851BE8" w:rsidP="008937B5">
      <w:r>
        <w:t>I tabellen kan man se hvordan virk</w:t>
      </w:r>
      <w:r w:rsidR="00EE6504">
        <w:t>s</w:t>
      </w:r>
      <w:r>
        <w:t>omhederne har angiver de tre nøgletal der er lovkrav i 2022. omsætning, omkostninger til vedligehold af aktiver (CAPEX) og operationelle omkostninger (OPEX).</w:t>
      </w:r>
    </w:p>
    <w:p w14:paraId="578A83A0" w14:textId="0FECE735" w:rsidR="008937B5" w:rsidRDefault="008937B5" w:rsidP="008937B5">
      <w:r w:rsidRPr="008937B5">
        <w:t>Not</w:t>
      </w:r>
      <w:r w:rsidR="00EE6504">
        <w:t>é</w:t>
      </w:r>
      <w:r w:rsidRPr="008937B5">
        <w:t>r at taksonomien opererer på engels</w:t>
      </w:r>
      <w:r w:rsidRPr="000C1453">
        <w:t xml:space="preserve">k med termerne </w:t>
      </w:r>
      <w:r>
        <w:t>”</w:t>
      </w:r>
      <w:r w:rsidRPr="000C1453">
        <w:t>eligible</w:t>
      </w:r>
      <w:r>
        <w:t>” for en økonomisk aktivitet er omfattet af taksonomien og ”aligned” for i hvor høj grad virksomhedens aktiviteter er bæredygtige</w:t>
      </w:r>
      <w:r w:rsidR="00851BE8">
        <w:t>.</w:t>
      </w:r>
    </w:p>
    <w:p w14:paraId="7C97F8AF" w14:textId="227CACA6" w:rsidR="00851BE8" w:rsidRDefault="00851BE8" w:rsidP="008937B5">
      <w:r>
        <w:t>Først og fremmest må man notere at vigtige virksomheder i ejendoms og byggebranchens værdikæde i 2022 ikke mener de er omfatter (eligible) af ta</w:t>
      </w:r>
      <w:r w:rsidR="00AC1204">
        <w:t>ks</w:t>
      </w:r>
      <w:r>
        <w:t>onomiens krav. Det gælder</w:t>
      </w:r>
      <w:r w:rsidR="00607E79">
        <w:t xml:space="preserve"> til eksempel</w:t>
      </w:r>
      <w:r>
        <w:t xml:space="preserve"> COWI, Rambøll og Sanistål. Derudover henviser en virksomhed, STARK, til deres regnskabsår indebærer at rapporten for august 2020 til juli 2021 ikke behøver at omfatte ta</w:t>
      </w:r>
      <w:r w:rsidR="00AC1204">
        <w:t>ks</w:t>
      </w:r>
      <w:r>
        <w:t>onomirapportering</w:t>
      </w:r>
      <w:r w:rsidR="00EE6504">
        <w:t xml:space="preserve"> og én virksomhed lover at gennemføre vurderingen næste år (Kemp &amp; Lauritzen). </w:t>
      </w:r>
    </w:p>
    <w:p w14:paraId="189ED740" w14:textId="761BB9A9" w:rsidR="00EE6504" w:rsidRPr="008937B5" w:rsidRDefault="00EE6504" w:rsidP="008937B5">
      <w:r>
        <w:t>Der tegner sig derfor et billede af at børsnoterede virksomheder tolker lovgivning ret reaktivt og restriktivt</w:t>
      </w:r>
      <w:r w:rsidR="00F14C20">
        <w:t>. Dette understreges af at ingen virksomheder i dette sample har gennemført den vurdering af graden af bæredygtighed af deres aktiviteter som de skal lave per 1 januar 2022. Dette er fuldt legalt, men ikke særligt proaktivt. I stedet nøjes de fleste virksomheder i samplet</w:t>
      </w:r>
      <w:r w:rsidR="0040460C">
        <w:t xml:space="preserve"> </w:t>
      </w:r>
      <w:r w:rsidR="00F14C20">
        <w:t>med at</w:t>
      </w:r>
      <w:r w:rsidR="0040460C">
        <w:t xml:space="preserve"> </w:t>
      </w:r>
      <w:r w:rsidR="00F14C20">
        <w:t>tilkendegive at de forbereder rapporteringen. Heimstaden er den eneste virksomheder der kommunikerer en kvantitativ vurdering; de regner med at 40% af ejendomme er bæredygtige i henhold til taxonomien.</w:t>
      </w:r>
    </w:p>
    <w:p w14:paraId="7E7D1D8F" w14:textId="77777777" w:rsidR="008937B5" w:rsidRPr="008937B5" w:rsidRDefault="008937B5" w:rsidP="008937B5"/>
    <w:tbl>
      <w:tblPr>
        <w:tblW w:w="0" w:type="auto"/>
        <w:tblCellMar>
          <w:left w:w="70" w:type="dxa"/>
          <w:right w:w="70" w:type="dxa"/>
        </w:tblCellMar>
        <w:tblLook w:val="0000" w:firstRow="0" w:lastRow="0" w:firstColumn="0" w:lastColumn="0" w:noHBand="0" w:noVBand="0"/>
      </w:tblPr>
      <w:tblGrid>
        <w:gridCol w:w="1829"/>
        <w:gridCol w:w="1217"/>
        <w:gridCol w:w="813"/>
        <w:gridCol w:w="1216"/>
        <w:gridCol w:w="3182"/>
      </w:tblGrid>
      <w:tr w:rsidR="00375A22" w:rsidRPr="00607E79" w14:paraId="583CD052" w14:textId="77777777" w:rsidTr="0047568B">
        <w:tc>
          <w:tcPr>
            <w:tcW w:w="1829" w:type="dxa"/>
            <w:vMerge w:val="restart"/>
            <w:tcBorders>
              <w:top w:val="single" w:sz="4" w:space="0" w:color="auto"/>
              <w:left w:val="single" w:sz="4" w:space="0" w:color="auto"/>
            </w:tcBorders>
          </w:tcPr>
          <w:p w14:paraId="31DEC120" w14:textId="520C02E4"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Virksomheder</w:t>
            </w:r>
            <w:r w:rsidR="008937B5" w:rsidRPr="00DE14A5">
              <w:rPr>
                <w:rFonts w:ascii="Cambria" w:hAnsi="Cambria"/>
                <w:i w:val="0"/>
                <w:iCs/>
                <w:szCs w:val="22"/>
                <w:lang w:val="da-DK"/>
              </w:rPr>
              <w:t xml:space="preserve">, </w:t>
            </w:r>
          </w:p>
        </w:tc>
        <w:tc>
          <w:tcPr>
            <w:tcW w:w="3246" w:type="dxa"/>
            <w:gridSpan w:val="3"/>
            <w:tcBorders>
              <w:top w:val="single" w:sz="4" w:space="0" w:color="auto"/>
            </w:tcBorders>
          </w:tcPr>
          <w:p w14:paraId="49A3C323"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Eligible 2021 (1 January 2022)</w:t>
            </w:r>
          </w:p>
        </w:tc>
        <w:tc>
          <w:tcPr>
            <w:tcW w:w="3182" w:type="dxa"/>
            <w:vMerge w:val="restart"/>
            <w:tcBorders>
              <w:top w:val="single" w:sz="4" w:space="0" w:color="auto"/>
              <w:right w:val="single" w:sz="4" w:space="0" w:color="auto"/>
            </w:tcBorders>
          </w:tcPr>
          <w:p w14:paraId="2A81FFBD"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Aligned 2022 (1 January 2023)</w:t>
            </w:r>
          </w:p>
        </w:tc>
      </w:tr>
      <w:tr w:rsidR="00375A22" w:rsidRPr="00607E79" w14:paraId="49BF8D72" w14:textId="77777777" w:rsidTr="0047568B">
        <w:tc>
          <w:tcPr>
            <w:tcW w:w="1829" w:type="dxa"/>
            <w:vMerge/>
            <w:tcBorders>
              <w:left w:val="single" w:sz="4" w:space="0" w:color="auto"/>
              <w:bottom w:val="single" w:sz="4" w:space="0" w:color="auto"/>
            </w:tcBorders>
          </w:tcPr>
          <w:p w14:paraId="3010D1C0" w14:textId="77777777" w:rsidR="008937B5" w:rsidRPr="00DE14A5" w:rsidRDefault="008937B5" w:rsidP="002D296F">
            <w:pPr>
              <w:pStyle w:val="Captions"/>
              <w:rPr>
                <w:rFonts w:ascii="Cambria" w:hAnsi="Cambria"/>
                <w:i w:val="0"/>
                <w:iCs/>
                <w:szCs w:val="22"/>
                <w:lang w:val="da-DK"/>
              </w:rPr>
            </w:pPr>
          </w:p>
        </w:tc>
        <w:tc>
          <w:tcPr>
            <w:tcW w:w="1217" w:type="dxa"/>
            <w:tcBorders>
              <w:bottom w:val="single" w:sz="4" w:space="0" w:color="auto"/>
            </w:tcBorders>
          </w:tcPr>
          <w:p w14:paraId="104B852D" w14:textId="31D7CBB5"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Omsætning</w:t>
            </w:r>
          </w:p>
        </w:tc>
        <w:tc>
          <w:tcPr>
            <w:tcW w:w="813" w:type="dxa"/>
            <w:tcBorders>
              <w:bottom w:val="single" w:sz="4" w:space="0" w:color="auto"/>
            </w:tcBorders>
          </w:tcPr>
          <w:p w14:paraId="3C40BB55"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Capex</w:t>
            </w:r>
          </w:p>
        </w:tc>
        <w:tc>
          <w:tcPr>
            <w:tcW w:w="1216" w:type="dxa"/>
            <w:tcBorders>
              <w:bottom w:val="single" w:sz="4" w:space="0" w:color="auto"/>
            </w:tcBorders>
          </w:tcPr>
          <w:p w14:paraId="1A5F7742"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Opex</w:t>
            </w:r>
          </w:p>
        </w:tc>
        <w:tc>
          <w:tcPr>
            <w:tcW w:w="3182" w:type="dxa"/>
            <w:vMerge/>
            <w:tcBorders>
              <w:bottom w:val="single" w:sz="4" w:space="0" w:color="auto"/>
              <w:right w:val="single" w:sz="4" w:space="0" w:color="auto"/>
            </w:tcBorders>
          </w:tcPr>
          <w:p w14:paraId="5B6EEE79" w14:textId="77777777" w:rsidR="008937B5" w:rsidRPr="00DE14A5" w:rsidRDefault="008937B5" w:rsidP="002D296F">
            <w:pPr>
              <w:pStyle w:val="Captions"/>
              <w:rPr>
                <w:rFonts w:ascii="Cambria" w:hAnsi="Cambria"/>
                <w:i w:val="0"/>
                <w:iCs/>
                <w:szCs w:val="22"/>
                <w:lang w:val="da-DK"/>
              </w:rPr>
            </w:pPr>
          </w:p>
        </w:tc>
      </w:tr>
      <w:tr w:rsidR="00375A22" w:rsidRPr="00607E79" w14:paraId="722927EC" w14:textId="77777777" w:rsidTr="0047568B">
        <w:tc>
          <w:tcPr>
            <w:tcW w:w="1829" w:type="dxa"/>
            <w:tcBorders>
              <w:top w:val="single" w:sz="4" w:space="0" w:color="auto"/>
              <w:left w:val="single" w:sz="4" w:space="0" w:color="auto"/>
            </w:tcBorders>
          </w:tcPr>
          <w:p w14:paraId="54A2210F" w14:textId="3EAEA14A"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C</w:t>
            </w:r>
            <w:r w:rsidR="000C1453" w:rsidRPr="00DE14A5">
              <w:rPr>
                <w:rFonts w:ascii="Cambria" w:hAnsi="Cambria"/>
                <w:i w:val="0"/>
                <w:iCs/>
                <w:szCs w:val="22"/>
                <w:lang w:val="da-DK"/>
              </w:rPr>
              <w:t>owi/Arkitema</w:t>
            </w:r>
          </w:p>
        </w:tc>
        <w:tc>
          <w:tcPr>
            <w:tcW w:w="1217" w:type="dxa"/>
            <w:tcBorders>
              <w:top w:val="single" w:sz="4" w:space="0" w:color="auto"/>
            </w:tcBorders>
          </w:tcPr>
          <w:p w14:paraId="6ADB23B3"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813" w:type="dxa"/>
            <w:tcBorders>
              <w:top w:val="single" w:sz="4" w:space="0" w:color="auto"/>
            </w:tcBorders>
          </w:tcPr>
          <w:p w14:paraId="73F56F67"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1216" w:type="dxa"/>
            <w:tcBorders>
              <w:top w:val="single" w:sz="4" w:space="0" w:color="auto"/>
            </w:tcBorders>
          </w:tcPr>
          <w:p w14:paraId="29BFB97B"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3182" w:type="dxa"/>
            <w:tcBorders>
              <w:top w:val="single" w:sz="4" w:space="0" w:color="auto"/>
              <w:right w:val="single" w:sz="4" w:space="0" w:color="auto"/>
            </w:tcBorders>
          </w:tcPr>
          <w:p w14:paraId="3B3B6F49" w14:textId="2AD88709" w:rsidR="008937B5" w:rsidRPr="00DE14A5" w:rsidRDefault="00375A22" w:rsidP="002D296F">
            <w:pPr>
              <w:pStyle w:val="Captions"/>
              <w:rPr>
                <w:rFonts w:ascii="Cambria" w:hAnsi="Cambria"/>
                <w:i w:val="0"/>
                <w:iCs/>
                <w:szCs w:val="22"/>
                <w:lang w:val="da-DK"/>
              </w:rPr>
            </w:pPr>
            <w:r w:rsidRPr="00DE14A5">
              <w:rPr>
                <w:rFonts w:ascii="Cambria" w:hAnsi="Cambria"/>
                <w:i w:val="0"/>
                <w:iCs/>
                <w:szCs w:val="22"/>
                <w:lang w:val="da-DK"/>
              </w:rPr>
              <w:t>Kv</w:t>
            </w:r>
            <w:r w:rsidR="008937B5" w:rsidRPr="00DE14A5">
              <w:rPr>
                <w:rFonts w:ascii="Cambria" w:hAnsi="Cambria"/>
                <w:i w:val="0"/>
                <w:iCs/>
                <w:szCs w:val="22"/>
                <w:lang w:val="da-DK"/>
              </w:rPr>
              <w:t>alitativ strateg</w:t>
            </w:r>
            <w:r w:rsidRPr="00DE14A5">
              <w:rPr>
                <w:rFonts w:ascii="Cambria" w:hAnsi="Cambria"/>
                <w:i w:val="0"/>
                <w:iCs/>
                <w:szCs w:val="22"/>
                <w:lang w:val="da-DK"/>
              </w:rPr>
              <w:t>i</w:t>
            </w:r>
            <w:r w:rsidR="008937B5" w:rsidRPr="00DE14A5">
              <w:rPr>
                <w:rFonts w:ascii="Cambria" w:hAnsi="Cambria"/>
                <w:i w:val="0"/>
                <w:iCs/>
                <w:szCs w:val="22"/>
                <w:lang w:val="da-DK"/>
              </w:rPr>
              <w:t xml:space="preserve">, </w:t>
            </w:r>
            <w:r w:rsidRPr="00DE14A5">
              <w:rPr>
                <w:rFonts w:ascii="Cambria" w:hAnsi="Cambria"/>
                <w:i w:val="0"/>
                <w:iCs/>
                <w:szCs w:val="22"/>
                <w:lang w:val="da-DK"/>
              </w:rPr>
              <w:t>ikke dækket af taxonomien</w:t>
            </w:r>
          </w:p>
        </w:tc>
      </w:tr>
      <w:tr w:rsidR="00375A22" w:rsidRPr="00607E79" w14:paraId="1B8C5361" w14:textId="77777777" w:rsidTr="0047568B">
        <w:tc>
          <w:tcPr>
            <w:tcW w:w="1829" w:type="dxa"/>
            <w:tcBorders>
              <w:left w:val="single" w:sz="4" w:space="0" w:color="auto"/>
              <w:bottom w:val="single" w:sz="4" w:space="0" w:color="auto"/>
            </w:tcBorders>
          </w:tcPr>
          <w:p w14:paraId="2FED71DC" w14:textId="4FC131D2"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Rambøll/Henning Larsen</w:t>
            </w:r>
          </w:p>
        </w:tc>
        <w:tc>
          <w:tcPr>
            <w:tcW w:w="1217" w:type="dxa"/>
            <w:tcBorders>
              <w:bottom w:val="single" w:sz="4" w:space="0" w:color="auto"/>
            </w:tcBorders>
          </w:tcPr>
          <w:p w14:paraId="4335D8C4"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813" w:type="dxa"/>
            <w:tcBorders>
              <w:bottom w:val="single" w:sz="4" w:space="0" w:color="auto"/>
            </w:tcBorders>
          </w:tcPr>
          <w:p w14:paraId="03C9BADD"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1216" w:type="dxa"/>
            <w:tcBorders>
              <w:bottom w:val="single" w:sz="4" w:space="0" w:color="auto"/>
            </w:tcBorders>
          </w:tcPr>
          <w:p w14:paraId="6D1253B9"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3182" w:type="dxa"/>
            <w:tcBorders>
              <w:bottom w:val="single" w:sz="4" w:space="0" w:color="auto"/>
              <w:right w:val="single" w:sz="4" w:space="0" w:color="auto"/>
            </w:tcBorders>
          </w:tcPr>
          <w:p w14:paraId="7322DD2F" w14:textId="48E216B2" w:rsidR="008937B5" w:rsidRPr="00DE14A5" w:rsidRDefault="00375A22" w:rsidP="002D296F">
            <w:pPr>
              <w:pStyle w:val="Captions"/>
              <w:rPr>
                <w:rFonts w:ascii="Cambria" w:hAnsi="Cambria"/>
                <w:i w:val="0"/>
                <w:iCs/>
                <w:szCs w:val="22"/>
                <w:lang w:val="da-DK"/>
              </w:rPr>
            </w:pPr>
            <w:r w:rsidRPr="00DE14A5">
              <w:rPr>
                <w:rFonts w:ascii="Cambria" w:hAnsi="Cambria"/>
                <w:i w:val="0"/>
                <w:iCs/>
                <w:szCs w:val="22"/>
                <w:lang w:val="da-DK"/>
              </w:rPr>
              <w:t>V</w:t>
            </w:r>
            <w:r w:rsidR="008937B5" w:rsidRPr="00DE14A5">
              <w:rPr>
                <w:rFonts w:ascii="Cambria" w:hAnsi="Cambria"/>
                <w:i w:val="0"/>
                <w:iCs/>
                <w:szCs w:val="22"/>
                <w:lang w:val="da-DK"/>
              </w:rPr>
              <w:t>il</w:t>
            </w:r>
            <w:r w:rsidRPr="00DE14A5">
              <w:rPr>
                <w:rFonts w:ascii="Cambria" w:hAnsi="Cambria"/>
                <w:i w:val="0"/>
                <w:iCs/>
                <w:szCs w:val="22"/>
                <w:lang w:val="da-DK"/>
              </w:rPr>
              <w:t xml:space="preserve"> rapportere grad af bæredygtighed i</w:t>
            </w:r>
            <w:r w:rsidR="003E6C6B">
              <w:rPr>
                <w:rFonts w:ascii="Cambria" w:hAnsi="Cambria"/>
                <w:i w:val="0"/>
                <w:iCs/>
                <w:szCs w:val="22"/>
                <w:lang w:val="da-DK"/>
              </w:rPr>
              <w:t xml:space="preserve"> </w:t>
            </w:r>
            <w:r w:rsidR="008937B5" w:rsidRPr="00DE14A5">
              <w:rPr>
                <w:rFonts w:ascii="Cambria" w:hAnsi="Cambria"/>
                <w:i w:val="0"/>
                <w:iCs/>
                <w:szCs w:val="22"/>
                <w:lang w:val="da-DK"/>
              </w:rPr>
              <w:t xml:space="preserve"> 2023</w:t>
            </w:r>
          </w:p>
        </w:tc>
      </w:tr>
      <w:tr w:rsidR="00375A22" w:rsidRPr="00607E79" w14:paraId="47E9D4A3" w14:textId="77777777" w:rsidTr="0047568B">
        <w:tc>
          <w:tcPr>
            <w:tcW w:w="1829" w:type="dxa"/>
            <w:tcBorders>
              <w:top w:val="single" w:sz="4" w:space="0" w:color="auto"/>
              <w:left w:val="single" w:sz="4" w:space="0" w:color="auto"/>
            </w:tcBorders>
          </w:tcPr>
          <w:p w14:paraId="71677B17" w14:textId="2F8B4F0B"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MTH</w:t>
            </w:r>
          </w:p>
        </w:tc>
        <w:tc>
          <w:tcPr>
            <w:tcW w:w="1217" w:type="dxa"/>
            <w:tcBorders>
              <w:top w:val="single" w:sz="4" w:space="0" w:color="auto"/>
            </w:tcBorders>
          </w:tcPr>
          <w:p w14:paraId="29EA0CCE"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80</w:t>
            </w:r>
          </w:p>
        </w:tc>
        <w:tc>
          <w:tcPr>
            <w:tcW w:w="813" w:type="dxa"/>
            <w:tcBorders>
              <w:top w:val="single" w:sz="4" w:space="0" w:color="auto"/>
            </w:tcBorders>
          </w:tcPr>
          <w:p w14:paraId="12FA0099"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tc>
        <w:tc>
          <w:tcPr>
            <w:tcW w:w="1216" w:type="dxa"/>
            <w:tcBorders>
              <w:top w:val="single" w:sz="4" w:space="0" w:color="auto"/>
            </w:tcBorders>
          </w:tcPr>
          <w:p w14:paraId="1BF5A52E"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60</w:t>
            </w:r>
          </w:p>
        </w:tc>
        <w:tc>
          <w:tcPr>
            <w:tcW w:w="3182" w:type="dxa"/>
            <w:tcBorders>
              <w:top w:val="single" w:sz="4" w:space="0" w:color="auto"/>
              <w:right w:val="single" w:sz="4" w:space="0" w:color="auto"/>
            </w:tcBorders>
          </w:tcPr>
          <w:p w14:paraId="39CEA702" w14:textId="66EFBA34" w:rsidR="008937B5" w:rsidRPr="00DE14A5" w:rsidRDefault="00375A22" w:rsidP="002D296F">
            <w:pPr>
              <w:pStyle w:val="Captions"/>
              <w:rPr>
                <w:rFonts w:ascii="Cambria" w:hAnsi="Cambria"/>
                <w:i w:val="0"/>
                <w:iCs/>
                <w:szCs w:val="22"/>
                <w:lang w:val="da-DK"/>
              </w:rPr>
            </w:pPr>
            <w:r w:rsidRPr="00DE14A5">
              <w:rPr>
                <w:rFonts w:ascii="Cambria" w:hAnsi="Cambria"/>
                <w:i w:val="0"/>
                <w:iCs/>
                <w:szCs w:val="22"/>
                <w:lang w:val="da-DK"/>
              </w:rPr>
              <w:t>Forbereder</w:t>
            </w:r>
            <w:r w:rsidR="003E6C6B">
              <w:rPr>
                <w:rFonts w:ascii="Cambria" w:hAnsi="Cambria"/>
                <w:i w:val="0"/>
                <w:iCs/>
                <w:szCs w:val="22"/>
                <w:lang w:val="da-DK"/>
              </w:rPr>
              <w:t xml:space="preserve"> </w:t>
            </w:r>
            <w:r w:rsidR="008937B5" w:rsidRPr="00DE14A5">
              <w:rPr>
                <w:rFonts w:ascii="Cambria" w:hAnsi="Cambria"/>
                <w:i w:val="0"/>
                <w:iCs/>
                <w:szCs w:val="22"/>
                <w:lang w:val="da-DK"/>
              </w:rPr>
              <w:t>2023 r</w:t>
            </w:r>
            <w:r w:rsidRPr="00DE14A5">
              <w:rPr>
                <w:rFonts w:ascii="Cambria" w:hAnsi="Cambria"/>
                <w:i w:val="0"/>
                <w:iCs/>
                <w:szCs w:val="22"/>
                <w:lang w:val="da-DK"/>
              </w:rPr>
              <w:t>apporten</w:t>
            </w:r>
          </w:p>
        </w:tc>
      </w:tr>
      <w:tr w:rsidR="00375A22" w:rsidRPr="00607E79" w14:paraId="553475E2" w14:textId="77777777" w:rsidTr="0047568B">
        <w:tc>
          <w:tcPr>
            <w:tcW w:w="1829" w:type="dxa"/>
            <w:tcBorders>
              <w:left w:val="single" w:sz="4" w:space="0" w:color="auto"/>
              <w:bottom w:val="single" w:sz="4" w:space="0" w:color="auto"/>
            </w:tcBorders>
          </w:tcPr>
          <w:p w14:paraId="708F540B" w14:textId="7AEA224F"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Kemp &amp; Lauritsen</w:t>
            </w:r>
          </w:p>
        </w:tc>
        <w:tc>
          <w:tcPr>
            <w:tcW w:w="1217" w:type="dxa"/>
            <w:tcBorders>
              <w:bottom w:val="single" w:sz="4" w:space="0" w:color="auto"/>
            </w:tcBorders>
          </w:tcPr>
          <w:p w14:paraId="45981A3D"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813" w:type="dxa"/>
            <w:tcBorders>
              <w:bottom w:val="single" w:sz="4" w:space="0" w:color="auto"/>
            </w:tcBorders>
          </w:tcPr>
          <w:p w14:paraId="773373E4"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1216" w:type="dxa"/>
            <w:tcBorders>
              <w:bottom w:val="single" w:sz="4" w:space="0" w:color="auto"/>
            </w:tcBorders>
          </w:tcPr>
          <w:p w14:paraId="0BF1FAF3"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3182" w:type="dxa"/>
            <w:tcBorders>
              <w:bottom w:val="single" w:sz="4" w:space="0" w:color="auto"/>
              <w:right w:val="single" w:sz="4" w:space="0" w:color="auto"/>
            </w:tcBorders>
          </w:tcPr>
          <w:p w14:paraId="5D34FF56" w14:textId="5FBF4A74" w:rsidR="008937B5" w:rsidRPr="00DE14A5" w:rsidRDefault="00375A22" w:rsidP="002D296F">
            <w:pPr>
              <w:pStyle w:val="Captions"/>
              <w:rPr>
                <w:rFonts w:ascii="Cambria" w:hAnsi="Cambria"/>
                <w:i w:val="0"/>
                <w:iCs/>
                <w:szCs w:val="22"/>
                <w:lang w:val="da-DK"/>
              </w:rPr>
            </w:pPr>
            <w:r w:rsidRPr="00DE14A5">
              <w:rPr>
                <w:rFonts w:ascii="Cambria" w:hAnsi="Cambria"/>
                <w:i w:val="0"/>
                <w:iCs/>
                <w:szCs w:val="22"/>
                <w:lang w:val="da-DK"/>
              </w:rPr>
              <w:t>Ingen kommentarer</w:t>
            </w:r>
          </w:p>
        </w:tc>
      </w:tr>
      <w:tr w:rsidR="00375A22" w:rsidRPr="00607E79" w14:paraId="29A324B7" w14:textId="77777777" w:rsidTr="0047568B">
        <w:tc>
          <w:tcPr>
            <w:tcW w:w="1829" w:type="dxa"/>
            <w:tcBorders>
              <w:top w:val="single" w:sz="4" w:space="0" w:color="auto"/>
              <w:left w:val="single" w:sz="4" w:space="0" w:color="auto"/>
              <w:bottom w:val="single" w:sz="4" w:space="0" w:color="auto"/>
            </w:tcBorders>
          </w:tcPr>
          <w:p w14:paraId="589B51AA" w14:textId="48983330"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Heimstaden</w:t>
            </w:r>
          </w:p>
          <w:p w14:paraId="5998DC8B" w14:textId="11F08A43"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Pension Danmark</w:t>
            </w:r>
          </w:p>
        </w:tc>
        <w:tc>
          <w:tcPr>
            <w:tcW w:w="1217" w:type="dxa"/>
            <w:tcBorders>
              <w:top w:val="single" w:sz="4" w:space="0" w:color="auto"/>
              <w:bottom w:val="single" w:sz="4" w:space="0" w:color="auto"/>
            </w:tcBorders>
          </w:tcPr>
          <w:p w14:paraId="5851AF04"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p w14:paraId="50B40338"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tc>
        <w:tc>
          <w:tcPr>
            <w:tcW w:w="813" w:type="dxa"/>
            <w:tcBorders>
              <w:top w:val="single" w:sz="4" w:space="0" w:color="auto"/>
              <w:bottom w:val="single" w:sz="4" w:space="0" w:color="auto"/>
            </w:tcBorders>
          </w:tcPr>
          <w:p w14:paraId="24EC6239"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p w14:paraId="1B80E73F"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tc>
        <w:tc>
          <w:tcPr>
            <w:tcW w:w="1216" w:type="dxa"/>
            <w:tcBorders>
              <w:top w:val="single" w:sz="4" w:space="0" w:color="auto"/>
              <w:bottom w:val="single" w:sz="4" w:space="0" w:color="auto"/>
            </w:tcBorders>
          </w:tcPr>
          <w:p w14:paraId="3B341AC1"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p w14:paraId="58F320CC"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100</w:t>
            </w:r>
          </w:p>
        </w:tc>
        <w:tc>
          <w:tcPr>
            <w:tcW w:w="3182" w:type="dxa"/>
            <w:tcBorders>
              <w:top w:val="single" w:sz="4" w:space="0" w:color="auto"/>
              <w:bottom w:val="single" w:sz="4" w:space="0" w:color="auto"/>
              <w:right w:val="single" w:sz="4" w:space="0" w:color="auto"/>
            </w:tcBorders>
          </w:tcPr>
          <w:p w14:paraId="023E2547" w14:textId="53F4ED4D"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40% of</w:t>
            </w:r>
            <w:r w:rsidR="00375A22" w:rsidRPr="00DE14A5">
              <w:rPr>
                <w:rFonts w:ascii="Cambria" w:hAnsi="Cambria"/>
                <w:i w:val="0"/>
                <w:iCs/>
                <w:szCs w:val="22"/>
                <w:lang w:val="da-DK"/>
              </w:rPr>
              <w:t xml:space="preserve"> Hs ejendomme er</w:t>
            </w:r>
            <w:r w:rsidRPr="00DE14A5">
              <w:rPr>
                <w:rFonts w:ascii="Cambria" w:hAnsi="Cambria"/>
                <w:i w:val="0"/>
                <w:iCs/>
                <w:szCs w:val="22"/>
                <w:lang w:val="da-DK"/>
              </w:rPr>
              <w:t xml:space="preserve"> </w:t>
            </w:r>
            <w:r w:rsidR="00375A22" w:rsidRPr="00DE14A5">
              <w:rPr>
                <w:rFonts w:ascii="Cambria" w:hAnsi="Cambria"/>
                <w:i w:val="0"/>
                <w:iCs/>
                <w:szCs w:val="22"/>
                <w:lang w:val="da-DK"/>
              </w:rPr>
              <w:t>”</w:t>
            </w:r>
            <w:r w:rsidRPr="00DE14A5">
              <w:rPr>
                <w:rFonts w:ascii="Cambria" w:hAnsi="Cambria"/>
                <w:i w:val="0"/>
                <w:iCs/>
                <w:szCs w:val="22"/>
                <w:lang w:val="da-DK"/>
              </w:rPr>
              <w:t>aligned</w:t>
            </w:r>
            <w:r w:rsidR="00375A22" w:rsidRPr="00DE14A5">
              <w:rPr>
                <w:rFonts w:ascii="Cambria" w:hAnsi="Cambria"/>
                <w:i w:val="0"/>
                <w:iCs/>
                <w:szCs w:val="22"/>
                <w:lang w:val="da-DK"/>
              </w:rPr>
              <w:t>”</w:t>
            </w:r>
          </w:p>
          <w:p w14:paraId="2528CF3D" w14:textId="25C7094B" w:rsidR="008937B5" w:rsidRPr="00DE14A5" w:rsidRDefault="00375A22" w:rsidP="002D296F">
            <w:pPr>
              <w:pStyle w:val="Captions"/>
              <w:rPr>
                <w:rFonts w:ascii="Cambria" w:hAnsi="Cambria"/>
                <w:i w:val="0"/>
                <w:iCs/>
                <w:szCs w:val="22"/>
                <w:lang w:val="da-DK"/>
              </w:rPr>
            </w:pPr>
            <w:r w:rsidRPr="00DE14A5">
              <w:rPr>
                <w:rFonts w:ascii="Cambria" w:hAnsi="Cambria"/>
                <w:i w:val="0"/>
                <w:iCs/>
                <w:szCs w:val="22"/>
                <w:lang w:val="da-DK"/>
              </w:rPr>
              <w:t>Forbereder</w:t>
            </w:r>
            <w:r w:rsidR="008937B5" w:rsidRPr="00DE14A5">
              <w:rPr>
                <w:rFonts w:ascii="Cambria" w:hAnsi="Cambria"/>
                <w:i w:val="0"/>
                <w:iCs/>
                <w:szCs w:val="22"/>
                <w:lang w:val="da-DK"/>
              </w:rPr>
              <w:t xml:space="preserve"> 2023 r</w:t>
            </w:r>
            <w:r w:rsidRPr="00DE14A5">
              <w:rPr>
                <w:rFonts w:ascii="Cambria" w:hAnsi="Cambria"/>
                <w:i w:val="0"/>
                <w:iCs/>
                <w:szCs w:val="22"/>
                <w:lang w:val="da-DK"/>
              </w:rPr>
              <w:t>apporten</w:t>
            </w:r>
          </w:p>
        </w:tc>
      </w:tr>
      <w:tr w:rsidR="00375A22" w:rsidRPr="00607E79" w14:paraId="31305E15" w14:textId="77777777" w:rsidTr="0047568B">
        <w:tc>
          <w:tcPr>
            <w:tcW w:w="1829" w:type="dxa"/>
            <w:tcBorders>
              <w:top w:val="single" w:sz="4" w:space="0" w:color="auto"/>
              <w:left w:val="single" w:sz="4" w:space="0" w:color="auto"/>
            </w:tcBorders>
          </w:tcPr>
          <w:p w14:paraId="72C44AE2" w14:textId="5FBC4741"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Stark</w:t>
            </w:r>
          </w:p>
        </w:tc>
        <w:tc>
          <w:tcPr>
            <w:tcW w:w="1217" w:type="dxa"/>
            <w:tcBorders>
              <w:top w:val="single" w:sz="4" w:space="0" w:color="auto"/>
            </w:tcBorders>
          </w:tcPr>
          <w:p w14:paraId="6F79A819"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813" w:type="dxa"/>
            <w:tcBorders>
              <w:top w:val="single" w:sz="4" w:space="0" w:color="auto"/>
            </w:tcBorders>
          </w:tcPr>
          <w:p w14:paraId="2932CBC8"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1216" w:type="dxa"/>
            <w:tcBorders>
              <w:top w:val="single" w:sz="4" w:space="0" w:color="auto"/>
            </w:tcBorders>
          </w:tcPr>
          <w:p w14:paraId="1CC08582"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w:t>
            </w:r>
          </w:p>
        </w:tc>
        <w:tc>
          <w:tcPr>
            <w:tcW w:w="3182" w:type="dxa"/>
            <w:tcBorders>
              <w:top w:val="single" w:sz="4" w:space="0" w:color="auto"/>
              <w:right w:val="single" w:sz="4" w:space="0" w:color="auto"/>
            </w:tcBorders>
          </w:tcPr>
          <w:p w14:paraId="20CE9B81" w14:textId="72A81A8A" w:rsidR="008937B5" w:rsidRPr="00DE14A5" w:rsidRDefault="00E840BC" w:rsidP="002D296F">
            <w:pPr>
              <w:pStyle w:val="Captions"/>
              <w:rPr>
                <w:rFonts w:ascii="Cambria" w:hAnsi="Cambria"/>
                <w:i w:val="0"/>
                <w:iCs/>
                <w:szCs w:val="22"/>
                <w:lang w:val="da-DK"/>
              </w:rPr>
            </w:pPr>
            <w:r w:rsidRPr="00DE14A5">
              <w:rPr>
                <w:rFonts w:ascii="Cambria" w:hAnsi="Cambria"/>
                <w:i w:val="0"/>
                <w:iCs/>
                <w:szCs w:val="22"/>
                <w:lang w:val="da-DK"/>
              </w:rPr>
              <w:t>Årsrapport</w:t>
            </w:r>
            <w:r w:rsidR="008937B5" w:rsidRPr="00DE14A5">
              <w:rPr>
                <w:rFonts w:ascii="Cambria" w:hAnsi="Cambria"/>
                <w:i w:val="0"/>
                <w:iCs/>
                <w:szCs w:val="22"/>
                <w:lang w:val="da-DK"/>
              </w:rPr>
              <w:t xml:space="preserve"> </w:t>
            </w:r>
            <w:r w:rsidRPr="00DE14A5">
              <w:rPr>
                <w:rFonts w:ascii="Cambria" w:hAnsi="Cambria"/>
                <w:i w:val="0"/>
                <w:iCs/>
                <w:szCs w:val="22"/>
                <w:lang w:val="da-DK"/>
              </w:rPr>
              <w:t>per 1 juli</w:t>
            </w:r>
          </w:p>
        </w:tc>
      </w:tr>
      <w:tr w:rsidR="00375A22" w:rsidRPr="00607E79" w14:paraId="3A00CDA5" w14:textId="77777777" w:rsidTr="0047568B">
        <w:tc>
          <w:tcPr>
            <w:tcW w:w="1829" w:type="dxa"/>
            <w:tcBorders>
              <w:left w:val="single" w:sz="4" w:space="0" w:color="auto"/>
              <w:bottom w:val="single" w:sz="4" w:space="0" w:color="auto"/>
            </w:tcBorders>
          </w:tcPr>
          <w:p w14:paraId="27962AA4" w14:textId="360F1FA9" w:rsidR="008937B5" w:rsidRPr="00DE14A5" w:rsidRDefault="000C1453" w:rsidP="002D296F">
            <w:pPr>
              <w:pStyle w:val="Captions"/>
              <w:rPr>
                <w:rFonts w:ascii="Cambria" w:hAnsi="Cambria"/>
                <w:i w:val="0"/>
                <w:iCs/>
                <w:szCs w:val="22"/>
                <w:lang w:val="da-DK"/>
              </w:rPr>
            </w:pPr>
            <w:r w:rsidRPr="00DE14A5">
              <w:rPr>
                <w:rFonts w:ascii="Cambria" w:hAnsi="Cambria"/>
                <w:i w:val="0"/>
                <w:iCs/>
                <w:szCs w:val="22"/>
                <w:lang w:val="da-DK"/>
              </w:rPr>
              <w:t>Sanistål</w:t>
            </w:r>
          </w:p>
        </w:tc>
        <w:tc>
          <w:tcPr>
            <w:tcW w:w="1217" w:type="dxa"/>
            <w:tcBorders>
              <w:bottom w:val="single" w:sz="4" w:space="0" w:color="auto"/>
            </w:tcBorders>
          </w:tcPr>
          <w:p w14:paraId="46EE9558"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0</w:t>
            </w:r>
          </w:p>
        </w:tc>
        <w:tc>
          <w:tcPr>
            <w:tcW w:w="813" w:type="dxa"/>
            <w:tcBorders>
              <w:bottom w:val="single" w:sz="4" w:space="0" w:color="auto"/>
            </w:tcBorders>
          </w:tcPr>
          <w:p w14:paraId="49E41A8C"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0</w:t>
            </w:r>
          </w:p>
        </w:tc>
        <w:tc>
          <w:tcPr>
            <w:tcW w:w="1216" w:type="dxa"/>
            <w:tcBorders>
              <w:bottom w:val="single" w:sz="4" w:space="0" w:color="auto"/>
            </w:tcBorders>
          </w:tcPr>
          <w:p w14:paraId="4EDB54EF" w14:textId="77777777"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0</w:t>
            </w:r>
          </w:p>
        </w:tc>
        <w:tc>
          <w:tcPr>
            <w:tcW w:w="3182" w:type="dxa"/>
            <w:tcBorders>
              <w:bottom w:val="single" w:sz="4" w:space="0" w:color="auto"/>
              <w:right w:val="single" w:sz="4" w:space="0" w:color="auto"/>
            </w:tcBorders>
          </w:tcPr>
          <w:p w14:paraId="4F563A20" w14:textId="237C0F63" w:rsidR="008937B5" w:rsidRPr="00DE14A5" w:rsidRDefault="008937B5" w:rsidP="002D296F">
            <w:pPr>
              <w:pStyle w:val="Captions"/>
              <w:rPr>
                <w:rFonts w:ascii="Cambria" w:hAnsi="Cambria"/>
                <w:i w:val="0"/>
                <w:iCs/>
                <w:szCs w:val="22"/>
                <w:lang w:val="da-DK"/>
              </w:rPr>
            </w:pPr>
            <w:r w:rsidRPr="00DE14A5">
              <w:rPr>
                <w:rFonts w:ascii="Cambria" w:hAnsi="Cambria"/>
                <w:i w:val="0"/>
                <w:iCs/>
                <w:szCs w:val="22"/>
                <w:lang w:val="da-DK"/>
              </w:rPr>
              <w:t>F</w:t>
            </w:r>
            <w:r w:rsidR="00E840BC" w:rsidRPr="00DE14A5">
              <w:rPr>
                <w:rFonts w:ascii="Cambria" w:hAnsi="Cambria"/>
                <w:i w:val="0"/>
                <w:iCs/>
                <w:szCs w:val="22"/>
                <w:lang w:val="da-DK"/>
              </w:rPr>
              <w:t>ølger</w:t>
            </w:r>
            <w:r w:rsidRPr="00DE14A5">
              <w:rPr>
                <w:rFonts w:ascii="Cambria" w:hAnsi="Cambria"/>
                <w:i w:val="0"/>
                <w:iCs/>
                <w:szCs w:val="22"/>
                <w:lang w:val="da-DK"/>
              </w:rPr>
              <w:t xml:space="preserve"> ta</w:t>
            </w:r>
            <w:r w:rsidR="00E840BC" w:rsidRPr="00DE14A5">
              <w:rPr>
                <w:rFonts w:ascii="Cambria" w:hAnsi="Cambria"/>
                <w:i w:val="0"/>
                <w:iCs/>
                <w:szCs w:val="22"/>
                <w:lang w:val="da-DK"/>
              </w:rPr>
              <w:t>ks</w:t>
            </w:r>
            <w:r w:rsidRPr="00DE14A5">
              <w:rPr>
                <w:rFonts w:ascii="Cambria" w:hAnsi="Cambria"/>
                <w:i w:val="0"/>
                <w:iCs/>
                <w:szCs w:val="22"/>
                <w:lang w:val="da-DK"/>
              </w:rPr>
              <w:t>onom</w:t>
            </w:r>
            <w:r w:rsidR="00E840BC" w:rsidRPr="00DE14A5">
              <w:rPr>
                <w:rFonts w:ascii="Cambria" w:hAnsi="Cambria"/>
                <w:i w:val="0"/>
                <w:iCs/>
                <w:szCs w:val="22"/>
                <w:lang w:val="da-DK"/>
              </w:rPr>
              <w:t>ien</w:t>
            </w:r>
          </w:p>
        </w:tc>
      </w:tr>
    </w:tbl>
    <w:p w14:paraId="72CD7FEB" w14:textId="0193C258" w:rsidR="008937B5" w:rsidRPr="00BF50C4" w:rsidRDefault="0047568B" w:rsidP="008937B5">
      <w:pPr>
        <w:rPr>
          <w:sz w:val="18"/>
          <w:szCs w:val="18"/>
        </w:rPr>
      </w:pPr>
      <w:r w:rsidRPr="00BF50C4">
        <w:rPr>
          <w:iCs/>
          <w:sz w:val="18"/>
          <w:szCs w:val="18"/>
        </w:rPr>
        <w:t>Tabel 1: Årsregnskaber 2021 og taksonomien (DK)</w:t>
      </w:r>
    </w:p>
    <w:p w14:paraId="3E30EBB6" w14:textId="4C7FC968" w:rsidR="008937B5" w:rsidRDefault="008937B5" w:rsidP="008937B5"/>
    <w:p w14:paraId="5D5E7FC8" w14:textId="3FC7B9A8" w:rsidR="008937B5" w:rsidRDefault="008937B5" w:rsidP="008937B5"/>
    <w:p w14:paraId="6C2A37F9" w14:textId="77777777" w:rsidR="00A0465A" w:rsidRPr="008937B5" w:rsidRDefault="00A0465A" w:rsidP="008937B5"/>
    <w:p w14:paraId="15ADE9C9" w14:textId="0A7B2BCE" w:rsidR="00974818" w:rsidRDefault="00974818" w:rsidP="00974818">
      <w:pPr>
        <w:pStyle w:val="Overskrift2"/>
        <w:rPr>
          <w:b/>
          <w:bCs/>
        </w:rPr>
      </w:pPr>
      <w:bookmarkStart w:id="9" w:name="_Toc112184346"/>
      <w:r>
        <w:rPr>
          <w:b/>
          <w:bCs/>
        </w:rPr>
        <w:t>1</w:t>
      </w:r>
      <w:r w:rsidRPr="00904871">
        <w:rPr>
          <w:b/>
          <w:bCs/>
        </w:rPr>
        <w:t xml:space="preserve">.3 Virksomheders arbejde med </w:t>
      </w:r>
      <w:r w:rsidR="00F64F4D">
        <w:rPr>
          <w:b/>
          <w:bCs/>
        </w:rPr>
        <w:t xml:space="preserve">bæredygtighed </w:t>
      </w:r>
      <w:r w:rsidRPr="00904871">
        <w:rPr>
          <w:b/>
          <w:bCs/>
        </w:rPr>
        <w:t xml:space="preserve"> (SE)</w:t>
      </w:r>
      <w:bookmarkEnd w:id="9"/>
      <w:r w:rsidRPr="00904871">
        <w:rPr>
          <w:b/>
          <w:bCs/>
        </w:rPr>
        <w:t xml:space="preserve"> </w:t>
      </w:r>
    </w:p>
    <w:p w14:paraId="51C0AD7C" w14:textId="1539C04E" w:rsidR="006B2235" w:rsidRDefault="006B2235" w:rsidP="006B2235">
      <w:pPr>
        <w:pStyle w:val="Overskrift2"/>
        <w:rPr>
          <w:sz w:val="22"/>
          <w:szCs w:val="22"/>
        </w:rPr>
      </w:pPr>
    </w:p>
    <w:p w14:paraId="433B372E" w14:textId="63931A4B" w:rsidR="006B2235" w:rsidRPr="006B2235" w:rsidRDefault="00FA64A1" w:rsidP="006B2235">
      <w:r w:rsidRPr="00FA64A1">
        <w:t>Dette afsnit er opdelt i to. Først gennemgås (i afsnit 1.3.1) resultaterne af undersøgelser af svenske (især vestsvenske) virksomheders arbejde med bæredygtighed. Undersøgelsen dækker på tværs af brancher i det private og på tværs af størrelser. Derefter fokuseres ind på (i afsnit 1.3.2) de store svenske virksomheder som nu er direkte underlagt taksonomilovgivningen, altså børsnoterede virksomheder med mere end 500 ansatte</w:t>
      </w:r>
    </w:p>
    <w:p w14:paraId="4BEE722D" w14:textId="1B1885BD" w:rsidR="00974818" w:rsidRDefault="006B2235" w:rsidP="006B2235">
      <w:pPr>
        <w:pStyle w:val="Overskrift3"/>
      </w:pPr>
      <w:bookmarkStart w:id="10" w:name="_Toc112184347"/>
      <w:r>
        <w:t>1</w:t>
      </w:r>
      <w:r w:rsidRPr="00904871">
        <w:t>.3</w:t>
      </w:r>
      <w:r>
        <w:t>.1</w:t>
      </w:r>
      <w:r w:rsidRPr="00904871">
        <w:t xml:space="preserve"> Virksomheders arbejde med </w:t>
      </w:r>
      <w:r>
        <w:t>bæredygtighed -alle størrelser</w:t>
      </w:r>
      <w:r w:rsidRPr="00904871">
        <w:t xml:space="preserve"> (SE</w:t>
      </w:r>
      <w:r>
        <w:t>)</w:t>
      </w:r>
      <w:bookmarkEnd w:id="10"/>
    </w:p>
    <w:p w14:paraId="5185668C" w14:textId="580E6535" w:rsidR="0047568B" w:rsidRDefault="0047568B" w:rsidP="009A5C19">
      <w:r>
        <w:t xml:space="preserve">Ligesom med de danske virksomheder er der med de svensk først og fremmest fokus på virksomhedernes arbejde med bæredygtighed. Det er meget få små og mellemstore virksomheder som kender til taksonomien. </w:t>
      </w:r>
    </w:p>
    <w:p w14:paraId="784E3515" w14:textId="7ED1CBD3" w:rsidR="00003B3C" w:rsidRPr="00DE14A5" w:rsidRDefault="00003B3C" w:rsidP="009A5C19">
      <w:r w:rsidRPr="00DE14A5">
        <w:t>Flere undersøgelser har set på svenske og vestsvenske virksomheders arbejde med bæredygtighed</w:t>
      </w:r>
      <w:r w:rsidR="00EF5DBF" w:rsidRPr="00DE14A5">
        <w:t xml:space="preserve"> (2050, 2021; Axelsson</w:t>
      </w:r>
      <w:r w:rsidR="00EF5DBF" w:rsidRPr="00607E79">
        <w:t xml:space="preserve"> </w:t>
      </w:r>
      <w:r w:rsidR="00EF5DBF" w:rsidRPr="00DE14A5">
        <w:t>och Grevendahl</w:t>
      </w:r>
      <w:r w:rsidR="00EF5DBF" w:rsidRPr="00607E79">
        <w:t xml:space="preserve">, </w:t>
      </w:r>
      <w:r w:rsidR="00EF5DBF" w:rsidRPr="00DE14A5">
        <w:t>2020</w:t>
      </w:r>
      <w:r w:rsidR="00EF5DBF" w:rsidRPr="00607E79">
        <w:t>, Beyond Intent 2021</w:t>
      </w:r>
      <w:r w:rsidR="00EF5DBF" w:rsidRPr="00DE14A5">
        <w:t>)</w:t>
      </w:r>
      <w:r w:rsidRPr="00DE14A5">
        <w:t xml:space="preserve">. Konsulentfirmaet ”2050” har undersøgt Vestsvenske virksomheders syn på bæredygtighed og klima (2050, 2021). </w:t>
      </w:r>
      <w:r w:rsidR="00441C54" w:rsidRPr="00DE14A5">
        <w:t xml:space="preserve">103 virksomheder i Vestsverige, med omsætning på mere end 50 millioner har svaret på et spørgeskema. </w:t>
      </w:r>
      <w:r w:rsidR="007A3932" w:rsidRPr="00DE14A5">
        <w:t>Blandt besvarelserne kommer 26 fra de helt store virksomheder og 29 fra de med mindre end 50 ansatte og 350 mio i omsætning.</w:t>
      </w:r>
      <w:r w:rsidR="0040460C">
        <w:t xml:space="preserve"> </w:t>
      </w:r>
      <w:r w:rsidR="00441C54" w:rsidRPr="00DE14A5">
        <w:t>Næsten samtlige 103 virksomheder angiver at</w:t>
      </w:r>
      <w:r w:rsidR="0040460C">
        <w:t xml:space="preserve"> </w:t>
      </w:r>
      <w:r w:rsidR="00441C54" w:rsidRPr="00DE14A5">
        <w:t>de arbejder aktivt med bæredygtighed og næsten to ud af tre virksomheder har en bæredygtighedsstrategi som er formelt besluttet (2050, 2021)</w:t>
      </w:r>
      <w:r w:rsidR="007D1276" w:rsidRPr="00DE14A5">
        <w:t>. 75 procent af de virksomheder som har svaret har et ekspli</w:t>
      </w:r>
      <w:r w:rsidR="009A5C19" w:rsidRPr="00DE14A5">
        <w:t>ci</w:t>
      </w:r>
      <w:r w:rsidR="007D1276" w:rsidRPr="00DE14A5">
        <w:t xml:space="preserve">t klimamål, hvoraf halvdelen har sat et absolut mål (2050, 2021). Det er også halvdelen af virksomhederne </w:t>
      </w:r>
      <w:r w:rsidR="009A5C19" w:rsidRPr="00DE14A5">
        <w:t>der følger op og beregner deres emissioner. Respondenterne peger på, at de emissioner som kommer fra transport, leverandører og kunder (scope 3 emissioner) er de vigtigste bidrag til virksomhedens samlede udledning af drivhusgasser. Samtidig følger kun en fjerdedel af de adspurgte op på disse emissioner. Endelig ser to tredjedele af virksomhederne en forretningsmulighed i skrappere krav til bæredygtighed (2050, 2021).</w:t>
      </w:r>
    </w:p>
    <w:p w14:paraId="443A37A0" w14:textId="7F073832" w:rsidR="007D1276" w:rsidRPr="00DE14A5" w:rsidRDefault="009A5C19" w:rsidP="00003B3C">
      <w:r w:rsidRPr="00DE14A5">
        <w:t xml:space="preserve">Sammenlignes 2050s undersøgelse med de øvrige mere kvalitative undersøgelser der er gennemført i dette projekt, tegner der sig et billede af at 2050s virksomheder er ledende indenfor bæredygtighed og derfor har været motiverede til at svare på spørgeskemaet. </w:t>
      </w:r>
      <w:r w:rsidR="007A3932" w:rsidRPr="00DE14A5">
        <w:t>Næsten 550 virksomheder har ikke svaret på de</w:t>
      </w:r>
      <w:r w:rsidR="00607E79">
        <w:t>t</w:t>
      </w:r>
      <w:r w:rsidR="007A3932" w:rsidRPr="00DE14A5">
        <w:t xml:space="preserve"> udsendte </w:t>
      </w:r>
      <w:r w:rsidR="00607E79" w:rsidRPr="00607E79">
        <w:t>spørgeskema</w:t>
      </w:r>
      <w:r w:rsidR="007A3932" w:rsidRPr="00DE14A5">
        <w:t xml:space="preserve">. </w:t>
      </w:r>
      <w:r w:rsidR="00EF5DBF" w:rsidRPr="00DE14A5">
        <w:t>Desuden er 25 % af svarende fra Sveriges største virksomheder med domicil i Vestsverige (som eksempelvis Astra Zeneca, SKF og Volvo)</w:t>
      </w:r>
    </w:p>
    <w:p w14:paraId="0FF22B53" w14:textId="706160DB" w:rsidR="009A5C19" w:rsidRPr="00DE14A5" w:rsidRDefault="00EF5DBF" w:rsidP="00DE14A5">
      <w:pPr>
        <w:autoSpaceDE w:val="0"/>
        <w:autoSpaceDN w:val="0"/>
        <w:adjustRightInd w:val="0"/>
        <w:spacing w:after="0" w:line="240" w:lineRule="auto"/>
      </w:pPr>
      <w:r w:rsidRPr="00DE14A5">
        <w:t>Beyond Intent</w:t>
      </w:r>
      <w:r w:rsidR="00CA4844" w:rsidRPr="00DE14A5">
        <w:t xml:space="preserve"> et al</w:t>
      </w:r>
      <w:r w:rsidR="00607E79">
        <w:t>.</w:t>
      </w:r>
      <w:r w:rsidR="00CA4844" w:rsidRPr="00DE14A5">
        <w:t xml:space="preserve"> </w:t>
      </w:r>
      <w:r w:rsidRPr="00DE14A5">
        <w:t xml:space="preserve">(2019) fokuserer i 2019 på de små og mellemstore virksomheder. Deres undersøgelse viser at </w:t>
      </w:r>
      <w:r w:rsidR="003E701C" w:rsidRPr="00DE14A5">
        <w:t>9 ud af 10 virksomheder mener, at det er vigtigt at drive bæredygtighedsarbejde og tage socialt ansvar.</w:t>
      </w:r>
      <w:r w:rsidR="0040460C">
        <w:t xml:space="preserve"> </w:t>
      </w:r>
      <w:r w:rsidR="003E701C" w:rsidRPr="00DE14A5">
        <w:t>2 ud af 3 har i 2019 et bæredygtighedsarbejde.</w:t>
      </w:r>
      <w:r w:rsidR="006B2235">
        <w:t xml:space="preserve"> </w:t>
      </w:r>
      <w:r w:rsidR="003E701C" w:rsidRPr="00DE14A5">
        <w:t xml:space="preserve"> Virksomhedernes sociale ansvar og forretningsmæssige fordele er vigtige drivkræfter for bæredygtighedsarbejdet.</w:t>
      </w:r>
      <w:r w:rsidR="0040460C">
        <w:t xml:space="preserve"> </w:t>
      </w:r>
      <w:r w:rsidR="003E701C" w:rsidRPr="00DE14A5">
        <w:t>Miljø, klima og arbejdsforhold er i fokus.</w:t>
      </w:r>
      <w:r w:rsidR="0040460C">
        <w:t xml:space="preserve"> </w:t>
      </w:r>
      <w:r w:rsidR="003E701C" w:rsidRPr="00DE14A5">
        <w:t xml:space="preserve">57 procent har ambitionen om at reducere deres udledning. Transport, affald, genbrug og energieffektivitet er vigtigst for at reducere emissioner. De største forhindringer for bæredygtighedsarbejdet er </w:t>
      </w:r>
      <w:r w:rsidR="006B2235">
        <w:t xml:space="preserve"> </w:t>
      </w:r>
      <w:r w:rsidR="003E701C" w:rsidRPr="00DE14A5">
        <w:t>øgede omkostninger og kun 40 procent ser øget lønsomhed fra bæredygtighedsarbejde. Andre barrierer er mangel på forretningsmæssige fordele og tekniske løsninger (opfattelsen af øgede omkostninger er modstridende med 2050s resultat). To ud af tre virksomheder i Beyond intent (2019)s undersøgelse mener, at klimainitiativer kan give konkurrencefordele og ni ud af ti tror på øgede krav fra staten, mens syv ud af ti forventer, at kunderne også vil øge deres krav</w:t>
      </w:r>
      <w:r w:rsidR="00CA4844" w:rsidRPr="00DE14A5">
        <w:t xml:space="preserve"> (Beyond Intent et al 20199</w:t>
      </w:r>
    </w:p>
    <w:p w14:paraId="44F8EC0E" w14:textId="0EDC7C66" w:rsidR="009A5C19" w:rsidRPr="00DE14A5" w:rsidRDefault="009A5C19" w:rsidP="00003B3C"/>
    <w:p w14:paraId="3B9D1D10" w14:textId="5B1BBF9B" w:rsidR="00CA4844" w:rsidRPr="00DE14A5" w:rsidRDefault="00CA4844" w:rsidP="00DE14A5">
      <w:pPr>
        <w:pStyle w:val="Overskrift3"/>
      </w:pPr>
      <w:bookmarkStart w:id="11" w:name="_Toc112184348"/>
      <w:r>
        <w:t>1</w:t>
      </w:r>
      <w:r w:rsidR="0047568B">
        <w:t>.</w:t>
      </w:r>
      <w:r>
        <w:t>3.1 Store virksomheders arbejde med EU-lovpakken</w:t>
      </w:r>
      <w:r w:rsidR="0040460C">
        <w:t xml:space="preserve"> </w:t>
      </w:r>
      <w:r w:rsidR="004A40EA">
        <w:t>(SE)</w:t>
      </w:r>
      <w:bookmarkEnd w:id="11"/>
    </w:p>
    <w:p w14:paraId="519A66C4" w14:textId="2520BA5A" w:rsidR="004A40EA" w:rsidRPr="00DE14A5" w:rsidRDefault="004A40EA" w:rsidP="004A40EA">
      <w:pPr>
        <w:rPr>
          <w:sz w:val="24"/>
          <w:szCs w:val="24"/>
        </w:rPr>
      </w:pPr>
      <w:r w:rsidRPr="00DE14A5">
        <w:rPr>
          <w:sz w:val="24"/>
          <w:szCs w:val="24"/>
        </w:rPr>
        <w:t>Også i afsnittet om store svenske virksomheder tages bygge og ejendomsbranchen som eksempel. Bygge og -Ejendomsbranchen er et eksempel på en branche der er afhængige af hinanden i en form for leverandør-kunde dyade. Et eksempel er ejendomsselskabet Castellums leverandører</w:t>
      </w:r>
      <w:r w:rsidR="00607E79">
        <w:rPr>
          <w:sz w:val="24"/>
          <w:szCs w:val="24"/>
        </w:rPr>
        <w:t>,</w:t>
      </w:r>
      <w:r w:rsidRPr="00DE14A5">
        <w:rPr>
          <w:sz w:val="24"/>
          <w:szCs w:val="24"/>
        </w:rPr>
        <w:t xml:space="preserve"> se tabel 2 liste over primære leverandører (Castellum årsredovisning 2022):</w:t>
      </w:r>
    </w:p>
    <w:tbl>
      <w:tblPr>
        <w:tblStyle w:val="Tabel-Gitter"/>
        <w:tblW w:w="0" w:type="auto"/>
        <w:tblLook w:val="04A0" w:firstRow="1" w:lastRow="0" w:firstColumn="1" w:lastColumn="0" w:noHBand="0" w:noVBand="1"/>
      </w:tblPr>
      <w:tblGrid>
        <w:gridCol w:w="9628"/>
      </w:tblGrid>
      <w:tr w:rsidR="0063003F" w:rsidRPr="00F52DF1" w14:paraId="41371B54" w14:textId="77777777" w:rsidTr="002D296F">
        <w:tc>
          <w:tcPr>
            <w:tcW w:w="9628" w:type="dxa"/>
          </w:tcPr>
          <w:p w14:paraId="2B654E89" w14:textId="77777777" w:rsidR="004A40EA" w:rsidRPr="00DE14A5" w:rsidRDefault="004A40EA" w:rsidP="002D296F">
            <w:pPr>
              <w:autoSpaceDE w:val="0"/>
              <w:autoSpaceDN w:val="0"/>
              <w:adjustRightInd w:val="0"/>
              <w:rPr>
                <w:rFonts w:cs="Whitney-Semibold"/>
                <w:color w:val="1A6143"/>
                <w:lang w:val="sv-SE"/>
              </w:rPr>
            </w:pPr>
            <w:r w:rsidRPr="00DE14A5">
              <w:rPr>
                <w:rFonts w:cs="Whitney-Semibold"/>
                <w:color w:val="1A6143"/>
                <w:lang w:val="sv-SE"/>
              </w:rPr>
              <w:t>LEVERANTÖRER 2021 (ANDEL AV TOTAL INKÖPSVOLYM)</w:t>
            </w:r>
          </w:p>
          <w:p w14:paraId="6882B5BC"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Entreprenörer för bostadshus och andra byggnader </w:t>
            </w:r>
            <w:r w:rsidRPr="00DE14A5">
              <w:rPr>
                <w:rFonts w:cs="Whitney-Semibold"/>
                <w:color w:val="000000"/>
                <w:lang w:val="sv-SE"/>
              </w:rPr>
              <w:t>53 %</w:t>
            </w:r>
          </w:p>
          <w:p w14:paraId="7982D093"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Firmor för byggnadssnickeriarbeten </w:t>
            </w:r>
            <w:r w:rsidRPr="00DE14A5">
              <w:rPr>
                <w:rFonts w:cs="Whitney-Semibold"/>
                <w:color w:val="000000"/>
                <w:lang w:val="sv-SE"/>
              </w:rPr>
              <w:t>5 %</w:t>
            </w:r>
          </w:p>
          <w:p w14:paraId="2A888B18"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El, nätägare och distribution </w:t>
            </w:r>
            <w:r w:rsidRPr="00DE14A5">
              <w:rPr>
                <w:rFonts w:cs="Whitney-Semibold"/>
                <w:color w:val="000000"/>
                <w:lang w:val="sv-SE"/>
              </w:rPr>
              <w:t>3 %</w:t>
            </w:r>
          </w:p>
          <w:p w14:paraId="534CDC94"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Tekniska konsultbyråer inom bygg- och anläggning </w:t>
            </w:r>
            <w:r w:rsidRPr="00DE14A5">
              <w:rPr>
                <w:rFonts w:cs="Whitney-Semibold"/>
                <w:color w:val="000000"/>
                <w:lang w:val="sv-SE"/>
              </w:rPr>
              <w:t>3 %</w:t>
            </w:r>
          </w:p>
          <w:p w14:paraId="46B6F0D5"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Värmeverk m.m. </w:t>
            </w:r>
            <w:r w:rsidRPr="00DE14A5">
              <w:rPr>
                <w:rFonts w:cs="Whitney-Semibold"/>
                <w:color w:val="000000"/>
                <w:lang w:val="sv-SE"/>
              </w:rPr>
              <w:t>2 %</w:t>
            </w:r>
          </w:p>
          <w:p w14:paraId="7341F7C3"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Ventilationsfirmor </w:t>
            </w:r>
            <w:r w:rsidRPr="00DE14A5">
              <w:rPr>
                <w:rFonts w:cs="Whitney-Semibold"/>
                <w:color w:val="000000"/>
                <w:lang w:val="sv-SE"/>
              </w:rPr>
              <w:t>2 %</w:t>
            </w:r>
          </w:p>
          <w:p w14:paraId="44CAF29E"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Kommuner </w:t>
            </w:r>
            <w:r w:rsidRPr="00DE14A5">
              <w:rPr>
                <w:rFonts w:cs="Whitney-Semibold"/>
                <w:color w:val="000000"/>
                <w:lang w:val="sv-SE"/>
              </w:rPr>
              <w:t>2 %</w:t>
            </w:r>
          </w:p>
          <w:p w14:paraId="38CA7E20"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Elinstallationsfirmor </w:t>
            </w:r>
            <w:r w:rsidRPr="00DE14A5">
              <w:rPr>
                <w:rFonts w:cs="Whitney-Semibold"/>
                <w:color w:val="000000"/>
                <w:lang w:val="sv-SE"/>
              </w:rPr>
              <w:t>2 %</w:t>
            </w:r>
          </w:p>
          <w:p w14:paraId="4B556C96" w14:textId="77777777" w:rsidR="004A40EA" w:rsidRPr="00DE14A5" w:rsidRDefault="004A40EA" w:rsidP="002D296F">
            <w:pPr>
              <w:autoSpaceDE w:val="0"/>
              <w:autoSpaceDN w:val="0"/>
              <w:adjustRightInd w:val="0"/>
              <w:spacing w:after="0" w:line="240" w:lineRule="auto"/>
              <w:rPr>
                <w:rFonts w:cs="Whitney-Semibold"/>
                <w:color w:val="000000"/>
                <w:lang w:val="sv-SE"/>
              </w:rPr>
            </w:pPr>
            <w:r w:rsidRPr="00DE14A5">
              <w:rPr>
                <w:rFonts w:cs="Whitney-Light"/>
                <w:color w:val="000000"/>
                <w:lang w:val="sv-SE"/>
              </w:rPr>
              <w:t xml:space="preserve">Rörfirmor </w:t>
            </w:r>
            <w:r w:rsidRPr="00DE14A5">
              <w:rPr>
                <w:rFonts w:cs="Whitney-Semibold"/>
                <w:color w:val="000000"/>
                <w:lang w:val="sv-SE"/>
              </w:rPr>
              <w:t>1 %</w:t>
            </w:r>
          </w:p>
          <w:p w14:paraId="2733A3F7" w14:textId="77777777" w:rsidR="004A40EA" w:rsidRPr="00DE14A5" w:rsidRDefault="004A40EA" w:rsidP="002D296F">
            <w:pPr>
              <w:autoSpaceDE w:val="0"/>
              <w:autoSpaceDN w:val="0"/>
              <w:adjustRightInd w:val="0"/>
              <w:spacing w:after="0" w:line="240" w:lineRule="auto"/>
              <w:rPr>
                <w:rFonts w:cs="Whitney-Semibold"/>
                <w:color w:val="000000"/>
                <w:sz w:val="18"/>
                <w:szCs w:val="18"/>
                <w:lang w:val="sv-SE"/>
              </w:rPr>
            </w:pPr>
            <w:r w:rsidRPr="00DE14A5">
              <w:rPr>
                <w:rFonts w:cs="Whitney-Light"/>
                <w:color w:val="000000"/>
                <w:lang w:val="sv-SE"/>
              </w:rPr>
              <w:t xml:space="preserve">Övriga </w:t>
            </w:r>
            <w:r w:rsidRPr="00DE14A5">
              <w:rPr>
                <w:rFonts w:cs="Whitney-Semibold"/>
                <w:color w:val="000000"/>
                <w:lang w:val="sv-SE"/>
              </w:rPr>
              <w:t>27 %</w:t>
            </w:r>
          </w:p>
        </w:tc>
      </w:tr>
    </w:tbl>
    <w:p w14:paraId="38F21CA3" w14:textId="05C77FEC" w:rsidR="004A40EA" w:rsidRPr="00BF50C4" w:rsidRDefault="004A40EA" w:rsidP="00974818">
      <w:pPr>
        <w:rPr>
          <w:sz w:val="18"/>
          <w:szCs w:val="18"/>
        </w:rPr>
      </w:pPr>
      <w:r w:rsidRPr="00BF50C4">
        <w:rPr>
          <w:sz w:val="18"/>
          <w:szCs w:val="18"/>
          <w:lang w:val="sv-SE"/>
        </w:rPr>
        <w:t xml:space="preserve">Tabel 2 Castellums </w:t>
      </w:r>
      <w:r w:rsidR="00607E79" w:rsidRPr="00BF50C4">
        <w:rPr>
          <w:sz w:val="18"/>
          <w:szCs w:val="18"/>
          <w:lang w:val="sv-SE"/>
        </w:rPr>
        <w:t xml:space="preserve">primære </w:t>
      </w:r>
      <w:r w:rsidRPr="00BF50C4">
        <w:rPr>
          <w:sz w:val="18"/>
          <w:szCs w:val="18"/>
          <w:lang w:val="sv-SE"/>
        </w:rPr>
        <w:t>leverandører 2021</w:t>
      </w:r>
    </w:p>
    <w:p w14:paraId="5374F8C0" w14:textId="77777777" w:rsidR="003E6C6B" w:rsidRDefault="003E6C6B" w:rsidP="00974818">
      <w:pPr>
        <w:rPr>
          <w:rFonts w:ascii="Times New Roman" w:hAnsi="Times New Roman"/>
          <w:sz w:val="24"/>
          <w:szCs w:val="24"/>
        </w:rPr>
      </w:pPr>
    </w:p>
    <w:p w14:paraId="3DD33684" w14:textId="77777777" w:rsidR="004A40EA" w:rsidRPr="00DE14A5" w:rsidRDefault="004A40EA" w:rsidP="00974818"/>
    <w:tbl>
      <w:tblPr>
        <w:tblW w:w="8144" w:type="dxa"/>
        <w:tblLook w:val="04A0" w:firstRow="1" w:lastRow="0" w:firstColumn="1" w:lastColumn="0" w:noHBand="0" w:noVBand="1"/>
      </w:tblPr>
      <w:tblGrid>
        <w:gridCol w:w="1700"/>
        <w:gridCol w:w="1293"/>
        <w:gridCol w:w="863"/>
        <w:gridCol w:w="960"/>
        <w:gridCol w:w="1620"/>
        <w:gridCol w:w="972"/>
        <w:gridCol w:w="972"/>
      </w:tblGrid>
      <w:tr w:rsidR="00974818" w:rsidRPr="006B65F1" w14:paraId="0E3A57BA" w14:textId="77777777" w:rsidTr="00E04892">
        <w:trPr>
          <w:trHeight w:val="288"/>
        </w:trPr>
        <w:tc>
          <w:tcPr>
            <w:tcW w:w="1700" w:type="dxa"/>
            <w:tcBorders>
              <w:top w:val="single" w:sz="8" w:space="0" w:color="auto"/>
              <w:left w:val="single" w:sz="8" w:space="0" w:color="auto"/>
              <w:bottom w:val="nil"/>
              <w:right w:val="nil"/>
            </w:tcBorders>
            <w:shd w:val="clear" w:color="auto" w:fill="auto"/>
            <w:noWrap/>
            <w:vAlign w:val="bottom"/>
            <w:hideMark/>
          </w:tcPr>
          <w:p w14:paraId="0F82C45B"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c>
          <w:tcPr>
            <w:tcW w:w="1920" w:type="dxa"/>
            <w:gridSpan w:val="2"/>
            <w:tcBorders>
              <w:top w:val="single" w:sz="8" w:space="0" w:color="auto"/>
              <w:left w:val="nil"/>
              <w:bottom w:val="nil"/>
              <w:right w:val="nil"/>
            </w:tcBorders>
            <w:shd w:val="clear" w:color="auto" w:fill="auto"/>
            <w:noWrap/>
            <w:vAlign w:val="bottom"/>
            <w:hideMark/>
          </w:tcPr>
          <w:p w14:paraId="26B38AB0" w14:textId="77777777" w:rsidR="00974818" w:rsidRPr="00DE14A5" w:rsidRDefault="00974818" w:rsidP="00E04892">
            <w:pPr>
              <w:spacing w:after="0" w:line="240" w:lineRule="auto"/>
              <w:rPr>
                <w:rFonts w:eastAsia="Times New Roman"/>
                <w:b/>
                <w:bCs/>
                <w:color w:val="000000"/>
              </w:rPr>
            </w:pPr>
            <w:r w:rsidRPr="00DE14A5">
              <w:rPr>
                <w:rFonts w:eastAsia="Times New Roman"/>
                <w:b/>
                <w:bCs/>
                <w:color w:val="000000"/>
              </w:rPr>
              <w:t>Obligatory</w:t>
            </w:r>
          </w:p>
        </w:tc>
        <w:tc>
          <w:tcPr>
            <w:tcW w:w="960" w:type="dxa"/>
            <w:tcBorders>
              <w:top w:val="single" w:sz="8" w:space="0" w:color="auto"/>
              <w:left w:val="nil"/>
              <w:bottom w:val="nil"/>
              <w:right w:val="nil"/>
            </w:tcBorders>
            <w:shd w:val="clear" w:color="auto" w:fill="auto"/>
            <w:noWrap/>
            <w:vAlign w:val="bottom"/>
            <w:hideMark/>
          </w:tcPr>
          <w:p w14:paraId="50DC3B2F"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c>
          <w:tcPr>
            <w:tcW w:w="1620" w:type="dxa"/>
            <w:tcBorders>
              <w:top w:val="single" w:sz="8" w:space="0" w:color="auto"/>
              <w:left w:val="nil"/>
              <w:bottom w:val="nil"/>
              <w:right w:val="nil"/>
            </w:tcBorders>
            <w:shd w:val="clear" w:color="auto" w:fill="auto"/>
            <w:noWrap/>
            <w:vAlign w:val="bottom"/>
            <w:hideMark/>
          </w:tcPr>
          <w:p w14:paraId="2BD74B39" w14:textId="77777777" w:rsidR="00974818" w:rsidRPr="00DE14A5" w:rsidRDefault="00974818" w:rsidP="00E04892">
            <w:pPr>
              <w:spacing w:after="0" w:line="240" w:lineRule="auto"/>
              <w:rPr>
                <w:rFonts w:eastAsia="Times New Roman"/>
                <w:b/>
                <w:bCs/>
                <w:color w:val="000000"/>
              </w:rPr>
            </w:pPr>
            <w:r w:rsidRPr="00DE14A5">
              <w:rPr>
                <w:rFonts w:eastAsia="Times New Roman"/>
                <w:b/>
                <w:bCs/>
                <w:color w:val="000000"/>
              </w:rPr>
              <w:t>Volontary</w:t>
            </w:r>
          </w:p>
        </w:tc>
        <w:tc>
          <w:tcPr>
            <w:tcW w:w="972" w:type="dxa"/>
            <w:tcBorders>
              <w:top w:val="single" w:sz="8" w:space="0" w:color="auto"/>
              <w:left w:val="nil"/>
              <w:bottom w:val="nil"/>
              <w:right w:val="nil"/>
            </w:tcBorders>
            <w:shd w:val="clear" w:color="auto" w:fill="auto"/>
            <w:noWrap/>
            <w:vAlign w:val="bottom"/>
            <w:hideMark/>
          </w:tcPr>
          <w:p w14:paraId="7D6D98AE"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c>
          <w:tcPr>
            <w:tcW w:w="972" w:type="dxa"/>
            <w:tcBorders>
              <w:top w:val="single" w:sz="8" w:space="0" w:color="auto"/>
              <w:left w:val="nil"/>
              <w:bottom w:val="nil"/>
              <w:right w:val="single" w:sz="8" w:space="0" w:color="auto"/>
            </w:tcBorders>
            <w:shd w:val="clear" w:color="auto" w:fill="auto"/>
            <w:noWrap/>
            <w:vAlign w:val="bottom"/>
            <w:hideMark/>
          </w:tcPr>
          <w:p w14:paraId="70873648"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r w:rsidR="00974818" w:rsidRPr="006B65F1" w14:paraId="5B521217"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6F443FE0"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c>
          <w:tcPr>
            <w:tcW w:w="2880" w:type="dxa"/>
            <w:gridSpan w:val="3"/>
            <w:tcBorders>
              <w:top w:val="nil"/>
              <w:left w:val="nil"/>
              <w:bottom w:val="nil"/>
              <w:right w:val="nil"/>
            </w:tcBorders>
            <w:shd w:val="clear" w:color="auto" w:fill="auto"/>
            <w:noWrap/>
            <w:vAlign w:val="bottom"/>
            <w:hideMark/>
          </w:tcPr>
          <w:p w14:paraId="28537541" w14:textId="77777777" w:rsidR="00974818" w:rsidRPr="00DE14A5" w:rsidRDefault="00974818" w:rsidP="00E04892">
            <w:pPr>
              <w:spacing w:after="0" w:line="240" w:lineRule="auto"/>
              <w:rPr>
                <w:rFonts w:eastAsia="Times New Roman"/>
                <w:b/>
                <w:bCs/>
                <w:color w:val="000000"/>
              </w:rPr>
            </w:pPr>
            <w:r w:rsidRPr="00DE14A5">
              <w:rPr>
                <w:rFonts w:eastAsia="Times New Roman"/>
                <w:b/>
                <w:bCs/>
                <w:color w:val="000000"/>
              </w:rPr>
              <w:t xml:space="preserve">compliance Tax 2021 </w:t>
            </w:r>
          </w:p>
        </w:tc>
        <w:tc>
          <w:tcPr>
            <w:tcW w:w="3564" w:type="dxa"/>
            <w:gridSpan w:val="3"/>
            <w:tcBorders>
              <w:top w:val="nil"/>
              <w:left w:val="nil"/>
              <w:bottom w:val="nil"/>
              <w:right w:val="single" w:sz="8" w:space="0" w:color="000000"/>
            </w:tcBorders>
            <w:shd w:val="clear" w:color="auto" w:fill="auto"/>
            <w:noWrap/>
            <w:vAlign w:val="bottom"/>
            <w:hideMark/>
          </w:tcPr>
          <w:p w14:paraId="24C60247" w14:textId="77777777" w:rsidR="00974818" w:rsidRPr="00DE14A5" w:rsidRDefault="00974818" w:rsidP="00E04892">
            <w:pPr>
              <w:spacing w:after="0" w:line="240" w:lineRule="auto"/>
              <w:rPr>
                <w:rFonts w:eastAsia="Times New Roman"/>
                <w:b/>
                <w:bCs/>
                <w:color w:val="000000"/>
              </w:rPr>
            </w:pPr>
            <w:r w:rsidRPr="00DE14A5">
              <w:rPr>
                <w:rFonts w:eastAsia="Times New Roman"/>
                <w:b/>
                <w:bCs/>
                <w:color w:val="000000"/>
              </w:rPr>
              <w:t>Anticipative measures Tax 2022</w:t>
            </w:r>
          </w:p>
        </w:tc>
      </w:tr>
      <w:tr w:rsidR="00974818" w:rsidRPr="006B65F1" w14:paraId="039C09B0"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768CF450" w14:textId="77777777" w:rsidR="00974818" w:rsidRPr="00DE14A5" w:rsidRDefault="00974818" w:rsidP="00E04892">
            <w:pPr>
              <w:spacing w:after="0" w:line="240" w:lineRule="auto"/>
              <w:rPr>
                <w:rFonts w:eastAsia="Times New Roman"/>
                <w:b/>
                <w:bCs/>
                <w:color w:val="000000"/>
                <w:lang w:val="sv-SE"/>
              </w:rPr>
            </w:pPr>
            <w:r w:rsidRPr="00DE14A5">
              <w:rPr>
                <w:rFonts w:eastAsia="Times New Roman"/>
                <w:b/>
                <w:bCs/>
                <w:color w:val="000000"/>
                <w:lang w:val="sv-SE"/>
              </w:rPr>
              <w:t>Real Estate company</w:t>
            </w:r>
          </w:p>
        </w:tc>
        <w:tc>
          <w:tcPr>
            <w:tcW w:w="1920" w:type="dxa"/>
            <w:gridSpan w:val="2"/>
            <w:tcBorders>
              <w:top w:val="nil"/>
              <w:left w:val="nil"/>
              <w:bottom w:val="nil"/>
              <w:right w:val="nil"/>
            </w:tcBorders>
            <w:shd w:val="clear" w:color="auto" w:fill="auto"/>
            <w:noWrap/>
            <w:vAlign w:val="bottom"/>
            <w:hideMark/>
          </w:tcPr>
          <w:p w14:paraId="188599DA" w14:textId="289D5F54" w:rsidR="00974818" w:rsidRPr="00DE14A5" w:rsidRDefault="00974818" w:rsidP="00E04892">
            <w:pPr>
              <w:spacing w:after="0" w:line="240" w:lineRule="auto"/>
              <w:rPr>
                <w:rFonts w:eastAsia="Times New Roman"/>
                <w:color w:val="000000"/>
              </w:rPr>
            </w:pPr>
            <w:r w:rsidRPr="00DE14A5">
              <w:rPr>
                <w:rFonts w:eastAsia="Times New Roman"/>
                <w:color w:val="000000"/>
              </w:rPr>
              <w:t>p</w:t>
            </w:r>
            <w:r w:rsidR="006B65F1">
              <w:rPr>
                <w:rFonts w:eastAsia="Times New Roman"/>
                <w:color w:val="000000"/>
              </w:rPr>
              <w:t>rocentdel</w:t>
            </w:r>
            <w:r w:rsidRPr="00DE14A5">
              <w:rPr>
                <w:rFonts w:eastAsia="Times New Roman"/>
                <w:color w:val="000000"/>
              </w:rPr>
              <w:t xml:space="preserve"> </w:t>
            </w:r>
            <w:r w:rsidRPr="00DE14A5">
              <w:rPr>
                <w:rFonts w:eastAsia="Times New Roman"/>
                <w:b/>
                <w:bCs/>
                <w:color w:val="000000"/>
              </w:rPr>
              <w:t xml:space="preserve">eligible </w:t>
            </w:r>
          </w:p>
        </w:tc>
        <w:tc>
          <w:tcPr>
            <w:tcW w:w="960" w:type="dxa"/>
            <w:tcBorders>
              <w:top w:val="nil"/>
              <w:left w:val="nil"/>
              <w:bottom w:val="nil"/>
              <w:right w:val="nil"/>
            </w:tcBorders>
            <w:shd w:val="clear" w:color="auto" w:fill="auto"/>
            <w:noWrap/>
            <w:vAlign w:val="bottom"/>
            <w:hideMark/>
          </w:tcPr>
          <w:p w14:paraId="586BEC2D" w14:textId="77777777" w:rsidR="00974818" w:rsidRPr="00DE14A5" w:rsidRDefault="00974818" w:rsidP="00E04892">
            <w:pPr>
              <w:spacing w:after="0" w:line="240" w:lineRule="auto"/>
              <w:rPr>
                <w:rFonts w:eastAsia="Times New Roman"/>
                <w:color w:val="000000"/>
              </w:rPr>
            </w:pPr>
          </w:p>
        </w:tc>
        <w:tc>
          <w:tcPr>
            <w:tcW w:w="2592" w:type="dxa"/>
            <w:gridSpan w:val="2"/>
            <w:tcBorders>
              <w:top w:val="nil"/>
              <w:left w:val="nil"/>
              <w:bottom w:val="nil"/>
              <w:right w:val="nil"/>
            </w:tcBorders>
            <w:shd w:val="clear" w:color="auto" w:fill="auto"/>
            <w:noWrap/>
            <w:vAlign w:val="bottom"/>
            <w:hideMark/>
          </w:tcPr>
          <w:p w14:paraId="54042C2C" w14:textId="385EE964" w:rsidR="006B65F1" w:rsidRDefault="006B65F1" w:rsidP="00E04892">
            <w:pPr>
              <w:spacing w:after="0" w:line="240" w:lineRule="auto"/>
              <w:rPr>
                <w:rFonts w:eastAsia="Times New Roman"/>
                <w:color w:val="000000"/>
              </w:rPr>
            </w:pPr>
            <w:r w:rsidRPr="006B65F1">
              <w:rPr>
                <w:rFonts w:eastAsia="Times New Roman"/>
                <w:color w:val="000000"/>
              </w:rPr>
              <w:t>P</w:t>
            </w:r>
            <w:r>
              <w:rPr>
                <w:rFonts w:eastAsia="Times New Roman"/>
                <w:color w:val="000000"/>
              </w:rPr>
              <w:t>rocentdel</w:t>
            </w:r>
            <w:r w:rsidR="00974818" w:rsidRPr="00DE14A5">
              <w:rPr>
                <w:rFonts w:eastAsia="Times New Roman"/>
                <w:color w:val="000000"/>
              </w:rPr>
              <w:t xml:space="preserve"> </w:t>
            </w:r>
          </w:p>
          <w:p w14:paraId="3F506C17" w14:textId="3476FE3D" w:rsidR="00974818" w:rsidRPr="00DE14A5" w:rsidRDefault="00974818" w:rsidP="00E04892">
            <w:pPr>
              <w:spacing w:after="0" w:line="240" w:lineRule="auto"/>
              <w:rPr>
                <w:rFonts w:eastAsia="Times New Roman"/>
                <w:color w:val="000000"/>
              </w:rPr>
            </w:pPr>
            <w:r w:rsidRPr="00DE14A5">
              <w:rPr>
                <w:rFonts w:eastAsia="Times New Roman"/>
                <w:b/>
                <w:bCs/>
                <w:color w:val="000000"/>
              </w:rPr>
              <w:t>aligned</w:t>
            </w:r>
          </w:p>
        </w:tc>
        <w:tc>
          <w:tcPr>
            <w:tcW w:w="972" w:type="dxa"/>
            <w:tcBorders>
              <w:top w:val="nil"/>
              <w:left w:val="nil"/>
              <w:bottom w:val="nil"/>
              <w:right w:val="single" w:sz="8" w:space="0" w:color="auto"/>
            </w:tcBorders>
            <w:shd w:val="clear" w:color="auto" w:fill="auto"/>
            <w:noWrap/>
            <w:vAlign w:val="bottom"/>
            <w:hideMark/>
          </w:tcPr>
          <w:p w14:paraId="0B4F7DDC"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r w:rsidR="00974818" w:rsidRPr="006B65F1" w14:paraId="0B0C4DAB"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142C5139"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c>
          <w:tcPr>
            <w:tcW w:w="1057" w:type="dxa"/>
            <w:tcBorders>
              <w:top w:val="nil"/>
              <w:left w:val="nil"/>
              <w:bottom w:val="nil"/>
              <w:right w:val="nil"/>
            </w:tcBorders>
            <w:shd w:val="clear" w:color="auto" w:fill="auto"/>
            <w:noWrap/>
            <w:vAlign w:val="bottom"/>
            <w:hideMark/>
          </w:tcPr>
          <w:p w14:paraId="0334B899" w14:textId="2C2C6CEF" w:rsidR="00974818" w:rsidRPr="00DE14A5" w:rsidRDefault="006B65F1" w:rsidP="00E04892">
            <w:pPr>
              <w:spacing w:after="0" w:line="240" w:lineRule="auto"/>
              <w:rPr>
                <w:rFonts w:eastAsia="Times New Roman"/>
                <w:color w:val="000000"/>
              </w:rPr>
            </w:pPr>
            <w:r>
              <w:rPr>
                <w:rFonts w:eastAsia="Times New Roman"/>
                <w:color w:val="000000"/>
              </w:rPr>
              <w:t>Omsætning</w:t>
            </w:r>
          </w:p>
        </w:tc>
        <w:tc>
          <w:tcPr>
            <w:tcW w:w="863" w:type="dxa"/>
            <w:tcBorders>
              <w:top w:val="nil"/>
              <w:left w:val="nil"/>
              <w:bottom w:val="nil"/>
              <w:right w:val="nil"/>
            </w:tcBorders>
            <w:shd w:val="clear" w:color="auto" w:fill="auto"/>
            <w:noWrap/>
            <w:vAlign w:val="bottom"/>
            <w:hideMark/>
          </w:tcPr>
          <w:p w14:paraId="189A8499"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OPEX</w:t>
            </w:r>
          </w:p>
        </w:tc>
        <w:tc>
          <w:tcPr>
            <w:tcW w:w="960" w:type="dxa"/>
            <w:tcBorders>
              <w:top w:val="nil"/>
              <w:left w:val="nil"/>
              <w:bottom w:val="nil"/>
              <w:right w:val="nil"/>
            </w:tcBorders>
            <w:shd w:val="clear" w:color="auto" w:fill="auto"/>
            <w:noWrap/>
            <w:vAlign w:val="bottom"/>
            <w:hideMark/>
          </w:tcPr>
          <w:p w14:paraId="7ADDB234"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CAPEX</w:t>
            </w:r>
          </w:p>
        </w:tc>
        <w:tc>
          <w:tcPr>
            <w:tcW w:w="1620" w:type="dxa"/>
            <w:tcBorders>
              <w:top w:val="nil"/>
              <w:left w:val="nil"/>
              <w:bottom w:val="nil"/>
              <w:right w:val="nil"/>
            </w:tcBorders>
            <w:shd w:val="clear" w:color="auto" w:fill="auto"/>
            <w:noWrap/>
            <w:vAlign w:val="bottom"/>
            <w:hideMark/>
          </w:tcPr>
          <w:p w14:paraId="260A76D1" w14:textId="3F5BCADD" w:rsidR="00974818" w:rsidRPr="00DE14A5" w:rsidRDefault="006B65F1" w:rsidP="00E04892">
            <w:pPr>
              <w:spacing w:after="0" w:line="240" w:lineRule="auto"/>
              <w:rPr>
                <w:rFonts w:eastAsia="Times New Roman"/>
                <w:color w:val="000000"/>
              </w:rPr>
            </w:pPr>
            <w:r>
              <w:rPr>
                <w:rFonts w:eastAsia="Times New Roman"/>
                <w:color w:val="000000"/>
              </w:rPr>
              <w:t>Omsætning</w:t>
            </w:r>
          </w:p>
        </w:tc>
        <w:tc>
          <w:tcPr>
            <w:tcW w:w="972" w:type="dxa"/>
            <w:tcBorders>
              <w:top w:val="nil"/>
              <w:left w:val="nil"/>
              <w:bottom w:val="nil"/>
              <w:right w:val="nil"/>
            </w:tcBorders>
            <w:shd w:val="clear" w:color="auto" w:fill="auto"/>
            <w:noWrap/>
            <w:vAlign w:val="bottom"/>
            <w:hideMark/>
          </w:tcPr>
          <w:p w14:paraId="7A7D0890"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OPEX</w:t>
            </w:r>
          </w:p>
        </w:tc>
        <w:tc>
          <w:tcPr>
            <w:tcW w:w="972" w:type="dxa"/>
            <w:tcBorders>
              <w:top w:val="nil"/>
              <w:left w:val="nil"/>
              <w:bottom w:val="nil"/>
              <w:right w:val="single" w:sz="8" w:space="0" w:color="auto"/>
            </w:tcBorders>
            <w:shd w:val="clear" w:color="auto" w:fill="auto"/>
            <w:noWrap/>
            <w:vAlign w:val="bottom"/>
            <w:hideMark/>
          </w:tcPr>
          <w:p w14:paraId="29BE77F2"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CAPEX</w:t>
            </w:r>
          </w:p>
        </w:tc>
      </w:tr>
      <w:tr w:rsidR="00974818" w:rsidRPr="006B65F1" w14:paraId="387BD6A2" w14:textId="77777777" w:rsidTr="00E04892">
        <w:trPr>
          <w:trHeight w:val="540"/>
        </w:trPr>
        <w:tc>
          <w:tcPr>
            <w:tcW w:w="1700" w:type="dxa"/>
            <w:tcBorders>
              <w:top w:val="nil"/>
              <w:left w:val="single" w:sz="8" w:space="0" w:color="auto"/>
              <w:bottom w:val="nil"/>
              <w:right w:val="nil"/>
            </w:tcBorders>
            <w:shd w:val="clear" w:color="auto" w:fill="auto"/>
            <w:noWrap/>
            <w:hideMark/>
          </w:tcPr>
          <w:p w14:paraId="720C48EC"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Atrium Ljungberg</w:t>
            </w:r>
          </w:p>
        </w:tc>
        <w:tc>
          <w:tcPr>
            <w:tcW w:w="1057" w:type="dxa"/>
            <w:tcBorders>
              <w:top w:val="nil"/>
              <w:left w:val="nil"/>
              <w:bottom w:val="nil"/>
              <w:right w:val="nil"/>
            </w:tcBorders>
            <w:shd w:val="clear" w:color="auto" w:fill="auto"/>
            <w:noWrap/>
            <w:hideMark/>
          </w:tcPr>
          <w:p w14:paraId="5C568197"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nil"/>
              <w:right w:val="nil"/>
            </w:tcBorders>
            <w:shd w:val="clear" w:color="auto" w:fill="auto"/>
            <w:noWrap/>
            <w:hideMark/>
          </w:tcPr>
          <w:p w14:paraId="7DB6616F"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hideMark/>
          </w:tcPr>
          <w:p w14:paraId="58C4C886"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1620" w:type="dxa"/>
            <w:tcBorders>
              <w:top w:val="nil"/>
              <w:left w:val="nil"/>
              <w:bottom w:val="nil"/>
              <w:right w:val="nil"/>
            </w:tcBorders>
            <w:shd w:val="clear" w:color="auto" w:fill="auto"/>
            <w:hideMark/>
          </w:tcPr>
          <w:p w14:paraId="104D976C"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544m/24%, 948 m/45%*</w:t>
            </w:r>
          </w:p>
        </w:tc>
        <w:tc>
          <w:tcPr>
            <w:tcW w:w="972" w:type="dxa"/>
            <w:tcBorders>
              <w:top w:val="nil"/>
              <w:left w:val="nil"/>
              <w:bottom w:val="nil"/>
              <w:right w:val="nil"/>
            </w:tcBorders>
            <w:shd w:val="clear" w:color="auto" w:fill="auto"/>
            <w:noWrap/>
            <w:hideMark/>
          </w:tcPr>
          <w:p w14:paraId="0BB6BC71"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16</w:t>
            </w:r>
          </w:p>
        </w:tc>
        <w:tc>
          <w:tcPr>
            <w:tcW w:w="972" w:type="dxa"/>
            <w:tcBorders>
              <w:top w:val="nil"/>
              <w:left w:val="nil"/>
              <w:bottom w:val="nil"/>
              <w:right w:val="single" w:sz="8" w:space="0" w:color="auto"/>
            </w:tcBorders>
            <w:shd w:val="clear" w:color="auto" w:fill="auto"/>
            <w:noWrap/>
            <w:hideMark/>
          </w:tcPr>
          <w:p w14:paraId="7C67E2FC"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30</w:t>
            </w:r>
          </w:p>
        </w:tc>
      </w:tr>
      <w:tr w:rsidR="00974818" w:rsidRPr="006B65F1" w14:paraId="373439AA" w14:textId="77777777" w:rsidTr="00E04892">
        <w:trPr>
          <w:trHeight w:val="540"/>
        </w:trPr>
        <w:tc>
          <w:tcPr>
            <w:tcW w:w="1700" w:type="dxa"/>
            <w:tcBorders>
              <w:top w:val="nil"/>
              <w:left w:val="single" w:sz="8" w:space="0" w:color="auto"/>
              <w:bottom w:val="nil"/>
              <w:right w:val="nil"/>
            </w:tcBorders>
            <w:shd w:val="clear" w:color="auto" w:fill="auto"/>
            <w:noWrap/>
            <w:hideMark/>
          </w:tcPr>
          <w:p w14:paraId="01E5CCB6"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Akademiska Hus</w:t>
            </w:r>
          </w:p>
        </w:tc>
        <w:tc>
          <w:tcPr>
            <w:tcW w:w="1057" w:type="dxa"/>
            <w:tcBorders>
              <w:top w:val="nil"/>
              <w:left w:val="nil"/>
              <w:bottom w:val="nil"/>
              <w:right w:val="nil"/>
            </w:tcBorders>
            <w:shd w:val="clear" w:color="auto" w:fill="auto"/>
            <w:noWrap/>
            <w:hideMark/>
          </w:tcPr>
          <w:p w14:paraId="67EB1D02"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99,8</w:t>
            </w:r>
          </w:p>
        </w:tc>
        <w:tc>
          <w:tcPr>
            <w:tcW w:w="863" w:type="dxa"/>
            <w:tcBorders>
              <w:top w:val="nil"/>
              <w:left w:val="nil"/>
              <w:bottom w:val="nil"/>
              <w:right w:val="nil"/>
            </w:tcBorders>
            <w:shd w:val="clear" w:color="auto" w:fill="auto"/>
            <w:noWrap/>
            <w:hideMark/>
          </w:tcPr>
          <w:p w14:paraId="41C4CD17"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97,3</w:t>
            </w:r>
          </w:p>
        </w:tc>
        <w:tc>
          <w:tcPr>
            <w:tcW w:w="960" w:type="dxa"/>
            <w:tcBorders>
              <w:top w:val="nil"/>
              <w:left w:val="nil"/>
              <w:bottom w:val="nil"/>
              <w:right w:val="nil"/>
            </w:tcBorders>
            <w:shd w:val="clear" w:color="auto" w:fill="auto"/>
            <w:noWrap/>
            <w:hideMark/>
          </w:tcPr>
          <w:p w14:paraId="35FCC366"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99,3</w:t>
            </w:r>
          </w:p>
        </w:tc>
        <w:tc>
          <w:tcPr>
            <w:tcW w:w="1620" w:type="dxa"/>
            <w:tcBorders>
              <w:top w:val="nil"/>
              <w:left w:val="nil"/>
              <w:bottom w:val="nil"/>
              <w:right w:val="nil"/>
            </w:tcBorders>
            <w:shd w:val="clear" w:color="auto" w:fill="auto"/>
            <w:hideMark/>
          </w:tcPr>
          <w:p w14:paraId="3CE0E3F1"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topp 15-nivån, relativt väl.</w:t>
            </w:r>
          </w:p>
        </w:tc>
        <w:tc>
          <w:tcPr>
            <w:tcW w:w="972" w:type="dxa"/>
            <w:tcBorders>
              <w:top w:val="nil"/>
              <w:left w:val="nil"/>
              <w:bottom w:val="nil"/>
              <w:right w:val="nil"/>
            </w:tcBorders>
            <w:shd w:val="clear" w:color="auto" w:fill="auto"/>
            <w:noWrap/>
            <w:hideMark/>
          </w:tcPr>
          <w:p w14:paraId="1A955DC2" w14:textId="77777777" w:rsidR="00974818" w:rsidRPr="00DE14A5" w:rsidRDefault="00974818" w:rsidP="00E04892">
            <w:pPr>
              <w:spacing w:after="0" w:line="240" w:lineRule="auto"/>
              <w:rPr>
                <w:rFonts w:eastAsia="Times New Roman"/>
                <w:color w:val="000000"/>
              </w:rPr>
            </w:pPr>
          </w:p>
        </w:tc>
        <w:tc>
          <w:tcPr>
            <w:tcW w:w="972" w:type="dxa"/>
            <w:tcBorders>
              <w:top w:val="nil"/>
              <w:left w:val="nil"/>
              <w:bottom w:val="nil"/>
              <w:right w:val="single" w:sz="8" w:space="0" w:color="auto"/>
            </w:tcBorders>
            <w:shd w:val="clear" w:color="auto" w:fill="auto"/>
            <w:noWrap/>
            <w:hideMark/>
          </w:tcPr>
          <w:p w14:paraId="6F3AA0B5"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r w:rsidR="00974818" w:rsidRPr="002548D2" w14:paraId="5FC48D2D"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6994F69D"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Balder</w:t>
            </w:r>
          </w:p>
        </w:tc>
        <w:tc>
          <w:tcPr>
            <w:tcW w:w="1057" w:type="dxa"/>
            <w:tcBorders>
              <w:top w:val="nil"/>
              <w:left w:val="nil"/>
              <w:bottom w:val="nil"/>
              <w:right w:val="nil"/>
            </w:tcBorders>
            <w:shd w:val="clear" w:color="auto" w:fill="auto"/>
            <w:noWrap/>
            <w:vAlign w:val="bottom"/>
            <w:hideMark/>
          </w:tcPr>
          <w:p w14:paraId="12C5C64C"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nil"/>
              <w:right w:val="nil"/>
            </w:tcBorders>
            <w:shd w:val="clear" w:color="auto" w:fill="auto"/>
            <w:noWrap/>
            <w:vAlign w:val="bottom"/>
            <w:hideMark/>
          </w:tcPr>
          <w:p w14:paraId="4854FC3E"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vAlign w:val="bottom"/>
            <w:hideMark/>
          </w:tcPr>
          <w:p w14:paraId="7F5DBDEC"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3564" w:type="dxa"/>
            <w:gridSpan w:val="3"/>
            <w:tcBorders>
              <w:top w:val="nil"/>
              <w:left w:val="nil"/>
              <w:bottom w:val="nil"/>
              <w:right w:val="single" w:sz="8" w:space="0" w:color="000000"/>
            </w:tcBorders>
            <w:shd w:val="clear" w:color="auto" w:fill="auto"/>
            <w:noWrap/>
            <w:vAlign w:val="bottom"/>
            <w:hideMark/>
          </w:tcPr>
          <w:p w14:paraId="4A4BFA0C" w14:textId="77777777" w:rsidR="00974818" w:rsidRPr="00DE14A5" w:rsidRDefault="00974818" w:rsidP="00E04892">
            <w:pPr>
              <w:spacing w:after="0" w:line="240" w:lineRule="auto"/>
              <w:rPr>
                <w:rFonts w:eastAsia="Times New Roman"/>
                <w:color w:val="000000"/>
                <w:lang w:val="sv-SE"/>
              </w:rPr>
            </w:pPr>
            <w:r w:rsidRPr="00DE14A5">
              <w:rPr>
                <w:rFonts w:eastAsia="Times New Roman"/>
                <w:color w:val="000000"/>
                <w:lang w:val="sv-SE"/>
              </w:rPr>
              <w:t>very big part /mycket stor del</w:t>
            </w:r>
          </w:p>
        </w:tc>
      </w:tr>
      <w:tr w:rsidR="00974818" w:rsidRPr="006B65F1" w14:paraId="0A5BBBE5"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1268E9FE" w14:textId="77777777" w:rsidR="00974818" w:rsidRPr="00DE14A5" w:rsidRDefault="00974818" w:rsidP="00E04892">
            <w:pPr>
              <w:spacing w:after="0" w:line="240" w:lineRule="auto"/>
              <w:rPr>
                <w:rFonts w:eastAsia="Times New Roman"/>
                <w:color w:val="000000"/>
              </w:rPr>
            </w:pPr>
            <w:bookmarkStart w:id="12" w:name="_Hlk100875251"/>
            <w:r w:rsidRPr="00DE14A5">
              <w:rPr>
                <w:rFonts w:eastAsia="Times New Roman"/>
                <w:color w:val="000000"/>
              </w:rPr>
              <w:t>Castellum</w:t>
            </w:r>
          </w:p>
        </w:tc>
        <w:tc>
          <w:tcPr>
            <w:tcW w:w="1057" w:type="dxa"/>
            <w:tcBorders>
              <w:top w:val="nil"/>
              <w:left w:val="nil"/>
              <w:bottom w:val="nil"/>
              <w:right w:val="nil"/>
            </w:tcBorders>
            <w:shd w:val="clear" w:color="auto" w:fill="auto"/>
            <w:noWrap/>
            <w:vAlign w:val="bottom"/>
            <w:hideMark/>
          </w:tcPr>
          <w:p w14:paraId="5DE5654D"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nil"/>
              <w:right w:val="nil"/>
            </w:tcBorders>
            <w:shd w:val="clear" w:color="auto" w:fill="auto"/>
            <w:noWrap/>
            <w:vAlign w:val="bottom"/>
            <w:hideMark/>
          </w:tcPr>
          <w:p w14:paraId="446C255F"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vAlign w:val="bottom"/>
            <w:hideMark/>
          </w:tcPr>
          <w:p w14:paraId="03E284A8"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1620" w:type="dxa"/>
            <w:tcBorders>
              <w:top w:val="nil"/>
              <w:left w:val="nil"/>
              <w:bottom w:val="nil"/>
              <w:right w:val="nil"/>
            </w:tcBorders>
            <w:shd w:val="clear" w:color="auto" w:fill="auto"/>
            <w:noWrap/>
            <w:vAlign w:val="bottom"/>
            <w:hideMark/>
          </w:tcPr>
          <w:p w14:paraId="2407DE06"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46</w:t>
            </w:r>
          </w:p>
        </w:tc>
        <w:tc>
          <w:tcPr>
            <w:tcW w:w="972" w:type="dxa"/>
            <w:tcBorders>
              <w:top w:val="nil"/>
              <w:left w:val="nil"/>
              <w:bottom w:val="nil"/>
              <w:right w:val="nil"/>
            </w:tcBorders>
            <w:shd w:val="clear" w:color="auto" w:fill="auto"/>
            <w:noWrap/>
            <w:vAlign w:val="bottom"/>
            <w:hideMark/>
          </w:tcPr>
          <w:p w14:paraId="5CDD6079"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58</w:t>
            </w:r>
          </w:p>
        </w:tc>
        <w:tc>
          <w:tcPr>
            <w:tcW w:w="972" w:type="dxa"/>
            <w:tcBorders>
              <w:top w:val="nil"/>
              <w:left w:val="nil"/>
              <w:bottom w:val="nil"/>
              <w:right w:val="single" w:sz="8" w:space="0" w:color="auto"/>
            </w:tcBorders>
            <w:shd w:val="clear" w:color="auto" w:fill="auto"/>
            <w:noWrap/>
            <w:vAlign w:val="bottom"/>
            <w:hideMark/>
          </w:tcPr>
          <w:p w14:paraId="33CAE90F"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24</w:t>
            </w:r>
          </w:p>
        </w:tc>
      </w:tr>
      <w:bookmarkEnd w:id="12"/>
      <w:tr w:rsidR="00974818" w:rsidRPr="006B65F1" w14:paraId="2E8B08BC" w14:textId="77777777" w:rsidTr="00E04892">
        <w:trPr>
          <w:trHeight w:val="900"/>
        </w:trPr>
        <w:tc>
          <w:tcPr>
            <w:tcW w:w="1700" w:type="dxa"/>
            <w:tcBorders>
              <w:top w:val="nil"/>
              <w:left w:val="single" w:sz="8" w:space="0" w:color="auto"/>
              <w:bottom w:val="nil"/>
              <w:right w:val="nil"/>
            </w:tcBorders>
            <w:shd w:val="clear" w:color="auto" w:fill="auto"/>
            <w:noWrap/>
            <w:hideMark/>
          </w:tcPr>
          <w:p w14:paraId="7C43F2B1"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Fabege</w:t>
            </w:r>
          </w:p>
        </w:tc>
        <w:tc>
          <w:tcPr>
            <w:tcW w:w="1057" w:type="dxa"/>
            <w:tcBorders>
              <w:top w:val="nil"/>
              <w:left w:val="nil"/>
              <w:bottom w:val="nil"/>
              <w:right w:val="nil"/>
            </w:tcBorders>
            <w:shd w:val="clear" w:color="auto" w:fill="auto"/>
            <w:noWrap/>
            <w:hideMark/>
          </w:tcPr>
          <w:p w14:paraId="55C25A79"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nil"/>
              <w:right w:val="nil"/>
            </w:tcBorders>
            <w:shd w:val="clear" w:color="auto" w:fill="auto"/>
            <w:noWrap/>
            <w:hideMark/>
          </w:tcPr>
          <w:p w14:paraId="1C15BCA2"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hideMark/>
          </w:tcPr>
          <w:p w14:paraId="08F2632E"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1000</w:t>
            </w:r>
          </w:p>
        </w:tc>
        <w:tc>
          <w:tcPr>
            <w:tcW w:w="3564" w:type="dxa"/>
            <w:gridSpan w:val="3"/>
            <w:tcBorders>
              <w:top w:val="nil"/>
              <w:left w:val="nil"/>
              <w:bottom w:val="nil"/>
              <w:right w:val="single" w:sz="8" w:space="0" w:color="000000"/>
            </w:tcBorders>
            <w:shd w:val="clear" w:color="auto" w:fill="auto"/>
            <w:hideMark/>
          </w:tcPr>
          <w:p w14:paraId="55D38465"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a large part /en stor del 75% af fastigheter bland 15% bästa energiprestande</w:t>
            </w:r>
          </w:p>
        </w:tc>
      </w:tr>
      <w:tr w:rsidR="00974818" w:rsidRPr="006B65F1" w14:paraId="3123248C"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26DAD94F"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Magnolia</w:t>
            </w:r>
          </w:p>
        </w:tc>
        <w:tc>
          <w:tcPr>
            <w:tcW w:w="1057" w:type="dxa"/>
            <w:tcBorders>
              <w:top w:val="nil"/>
              <w:left w:val="nil"/>
              <w:bottom w:val="nil"/>
              <w:right w:val="nil"/>
            </w:tcBorders>
            <w:shd w:val="clear" w:color="auto" w:fill="auto"/>
            <w:noWrap/>
            <w:vAlign w:val="bottom"/>
            <w:hideMark/>
          </w:tcPr>
          <w:p w14:paraId="34CF6A57"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96</w:t>
            </w:r>
          </w:p>
        </w:tc>
        <w:tc>
          <w:tcPr>
            <w:tcW w:w="863" w:type="dxa"/>
            <w:tcBorders>
              <w:top w:val="nil"/>
              <w:left w:val="nil"/>
              <w:bottom w:val="nil"/>
              <w:right w:val="nil"/>
            </w:tcBorders>
            <w:shd w:val="clear" w:color="auto" w:fill="auto"/>
            <w:noWrap/>
            <w:vAlign w:val="bottom"/>
            <w:hideMark/>
          </w:tcPr>
          <w:p w14:paraId="142F5FC1"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vAlign w:val="bottom"/>
            <w:hideMark/>
          </w:tcPr>
          <w:p w14:paraId="787921E9"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94</w:t>
            </w:r>
          </w:p>
        </w:tc>
        <w:tc>
          <w:tcPr>
            <w:tcW w:w="1620" w:type="dxa"/>
            <w:tcBorders>
              <w:top w:val="nil"/>
              <w:left w:val="nil"/>
              <w:bottom w:val="nil"/>
              <w:right w:val="nil"/>
            </w:tcBorders>
            <w:shd w:val="clear" w:color="auto" w:fill="auto"/>
            <w:noWrap/>
            <w:vAlign w:val="bottom"/>
            <w:hideMark/>
          </w:tcPr>
          <w:p w14:paraId="5A16EDB1"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No</w:t>
            </w:r>
          </w:p>
        </w:tc>
        <w:tc>
          <w:tcPr>
            <w:tcW w:w="972" w:type="dxa"/>
            <w:tcBorders>
              <w:top w:val="nil"/>
              <w:left w:val="nil"/>
              <w:bottom w:val="nil"/>
              <w:right w:val="nil"/>
            </w:tcBorders>
            <w:shd w:val="clear" w:color="auto" w:fill="auto"/>
            <w:noWrap/>
            <w:vAlign w:val="bottom"/>
            <w:hideMark/>
          </w:tcPr>
          <w:p w14:paraId="3CA9777E" w14:textId="77777777" w:rsidR="00974818" w:rsidRPr="00DE14A5" w:rsidRDefault="00974818" w:rsidP="00E04892">
            <w:pPr>
              <w:spacing w:after="0" w:line="240" w:lineRule="auto"/>
              <w:rPr>
                <w:rFonts w:eastAsia="Times New Roman"/>
                <w:color w:val="000000"/>
              </w:rPr>
            </w:pPr>
          </w:p>
        </w:tc>
        <w:tc>
          <w:tcPr>
            <w:tcW w:w="972" w:type="dxa"/>
            <w:tcBorders>
              <w:top w:val="nil"/>
              <w:left w:val="nil"/>
              <w:bottom w:val="nil"/>
              <w:right w:val="single" w:sz="8" w:space="0" w:color="auto"/>
            </w:tcBorders>
            <w:shd w:val="clear" w:color="auto" w:fill="auto"/>
            <w:noWrap/>
            <w:vAlign w:val="bottom"/>
            <w:hideMark/>
          </w:tcPr>
          <w:p w14:paraId="4C59EE98"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r w:rsidR="00974818" w:rsidRPr="006B65F1" w14:paraId="745E9483"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2C3DD4D8"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SBB Norden</w:t>
            </w:r>
          </w:p>
        </w:tc>
        <w:tc>
          <w:tcPr>
            <w:tcW w:w="1057" w:type="dxa"/>
            <w:tcBorders>
              <w:top w:val="nil"/>
              <w:left w:val="nil"/>
              <w:bottom w:val="nil"/>
              <w:right w:val="nil"/>
            </w:tcBorders>
            <w:shd w:val="clear" w:color="auto" w:fill="auto"/>
            <w:noWrap/>
            <w:vAlign w:val="bottom"/>
            <w:hideMark/>
          </w:tcPr>
          <w:p w14:paraId="5B1B2EF8"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no info</w:t>
            </w:r>
          </w:p>
        </w:tc>
        <w:tc>
          <w:tcPr>
            <w:tcW w:w="863" w:type="dxa"/>
            <w:tcBorders>
              <w:top w:val="nil"/>
              <w:left w:val="nil"/>
              <w:bottom w:val="nil"/>
              <w:right w:val="nil"/>
            </w:tcBorders>
            <w:shd w:val="clear" w:color="auto" w:fill="auto"/>
            <w:noWrap/>
            <w:vAlign w:val="bottom"/>
            <w:hideMark/>
          </w:tcPr>
          <w:p w14:paraId="3CE5CB64"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no info</w:t>
            </w:r>
          </w:p>
        </w:tc>
        <w:tc>
          <w:tcPr>
            <w:tcW w:w="960" w:type="dxa"/>
            <w:tcBorders>
              <w:top w:val="nil"/>
              <w:left w:val="nil"/>
              <w:bottom w:val="nil"/>
              <w:right w:val="nil"/>
            </w:tcBorders>
            <w:shd w:val="clear" w:color="auto" w:fill="auto"/>
            <w:noWrap/>
            <w:vAlign w:val="bottom"/>
            <w:hideMark/>
          </w:tcPr>
          <w:p w14:paraId="56B8995D"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no info</w:t>
            </w:r>
          </w:p>
        </w:tc>
        <w:tc>
          <w:tcPr>
            <w:tcW w:w="3564" w:type="dxa"/>
            <w:gridSpan w:val="3"/>
            <w:tcBorders>
              <w:top w:val="nil"/>
              <w:left w:val="nil"/>
              <w:bottom w:val="nil"/>
              <w:right w:val="single" w:sz="8" w:space="0" w:color="000000"/>
            </w:tcBorders>
            <w:shd w:val="clear" w:color="auto" w:fill="auto"/>
            <w:noWrap/>
            <w:vAlign w:val="center"/>
            <w:hideMark/>
          </w:tcPr>
          <w:p w14:paraId="02E05D0E" w14:textId="77777777" w:rsidR="00974818" w:rsidRPr="00DE14A5" w:rsidRDefault="00974818" w:rsidP="00E04892">
            <w:pPr>
              <w:spacing w:after="0" w:line="240" w:lineRule="auto"/>
              <w:rPr>
                <w:rFonts w:eastAsia="Times New Roman"/>
                <w:color w:val="333333"/>
              </w:rPr>
            </w:pPr>
            <w:r w:rsidRPr="00DE14A5">
              <w:rPr>
                <w:rFonts w:eastAsia="Times New Roman"/>
                <w:color w:val="333333"/>
              </w:rPr>
              <w:t>13 % operating- and 50% new-buildings</w:t>
            </w:r>
          </w:p>
        </w:tc>
      </w:tr>
      <w:tr w:rsidR="00974818" w:rsidRPr="006B65F1" w14:paraId="74AAA3B7"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6B7448CC"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Vasakronan</w:t>
            </w:r>
          </w:p>
        </w:tc>
        <w:tc>
          <w:tcPr>
            <w:tcW w:w="1057" w:type="dxa"/>
            <w:tcBorders>
              <w:top w:val="nil"/>
              <w:left w:val="nil"/>
              <w:bottom w:val="nil"/>
              <w:right w:val="nil"/>
            </w:tcBorders>
            <w:shd w:val="clear" w:color="auto" w:fill="auto"/>
            <w:noWrap/>
            <w:vAlign w:val="bottom"/>
            <w:hideMark/>
          </w:tcPr>
          <w:p w14:paraId="6719978B"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nil"/>
              <w:right w:val="nil"/>
            </w:tcBorders>
            <w:shd w:val="clear" w:color="auto" w:fill="auto"/>
            <w:noWrap/>
            <w:vAlign w:val="bottom"/>
            <w:hideMark/>
          </w:tcPr>
          <w:p w14:paraId="5BD79CD1"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vAlign w:val="bottom"/>
            <w:hideMark/>
          </w:tcPr>
          <w:p w14:paraId="79A7D849"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2592" w:type="dxa"/>
            <w:gridSpan w:val="2"/>
            <w:tcBorders>
              <w:top w:val="nil"/>
              <w:left w:val="nil"/>
              <w:bottom w:val="nil"/>
              <w:right w:val="nil"/>
            </w:tcBorders>
            <w:shd w:val="clear" w:color="auto" w:fill="auto"/>
            <w:noWrap/>
            <w:vAlign w:val="bottom"/>
            <w:hideMark/>
          </w:tcPr>
          <w:p w14:paraId="37216AF8"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majority of our estates</w:t>
            </w:r>
          </w:p>
        </w:tc>
        <w:tc>
          <w:tcPr>
            <w:tcW w:w="972" w:type="dxa"/>
            <w:tcBorders>
              <w:top w:val="nil"/>
              <w:left w:val="nil"/>
              <w:bottom w:val="nil"/>
              <w:right w:val="single" w:sz="8" w:space="0" w:color="auto"/>
            </w:tcBorders>
            <w:shd w:val="clear" w:color="auto" w:fill="auto"/>
            <w:noWrap/>
            <w:vAlign w:val="bottom"/>
            <w:hideMark/>
          </w:tcPr>
          <w:p w14:paraId="18118F14"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r w:rsidR="00974818" w:rsidRPr="006B65F1" w14:paraId="538EB466"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51579F30"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Heimstaden</w:t>
            </w:r>
          </w:p>
        </w:tc>
        <w:tc>
          <w:tcPr>
            <w:tcW w:w="1057" w:type="dxa"/>
            <w:tcBorders>
              <w:top w:val="nil"/>
              <w:left w:val="nil"/>
              <w:bottom w:val="nil"/>
              <w:right w:val="nil"/>
            </w:tcBorders>
            <w:shd w:val="clear" w:color="auto" w:fill="auto"/>
            <w:noWrap/>
            <w:vAlign w:val="bottom"/>
            <w:hideMark/>
          </w:tcPr>
          <w:p w14:paraId="2982CA15"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nil"/>
              <w:right w:val="nil"/>
            </w:tcBorders>
            <w:shd w:val="clear" w:color="auto" w:fill="auto"/>
            <w:noWrap/>
            <w:vAlign w:val="bottom"/>
            <w:hideMark/>
          </w:tcPr>
          <w:p w14:paraId="198F52B6"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nil"/>
              <w:right w:val="nil"/>
            </w:tcBorders>
            <w:shd w:val="clear" w:color="auto" w:fill="auto"/>
            <w:noWrap/>
            <w:vAlign w:val="bottom"/>
            <w:hideMark/>
          </w:tcPr>
          <w:p w14:paraId="2A64C3BF"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1620" w:type="dxa"/>
            <w:tcBorders>
              <w:top w:val="nil"/>
              <w:left w:val="nil"/>
              <w:bottom w:val="nil"/>
              <w:right w:val="nil"/>
            </w:tcBorders>
            <w:shd w:val="clear" w:color="auto" w:fill="auto"/>
            <w:noWrap/>
            <w:vAlign w:val="bottom"/>
            <w:hideMark/>
          </w:tcPr>
          <w:p w14:paraId="76B62FA1"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xml:space="preserve">no </w:t>
            </w:r>
          </w:p>
        </w:tc>
        <w:tc>
          <w:tcPr>
            <w:tcW w:w="972" w:type="dxa"/>
            <w:tcBorders>
              <w:top w:val="nil"/>
              <w:left w:val="nil"/>
              <w:bottom w:val="nil"/>
              <w:right w:val="nil"/>
            </w:tcBorders>
            <w:shd w:val="clear" w:color="auto" w:fill="auto"/>
            <w:noWrap/>
            <w:vAlign w:val="bottom"/>
            <w:hideMark/>
          </w:tcPr>
          <w:p w14:paraId="464E2B00" w14:textId="77777777" w:rsidR="00974818" w:rsidRPr="00DE14A5" w:rsidRDefault="00974818" w:rsidP="00E04892">
            <w:pPr>
              <w:spacing w:after="0" w:line="240" w:lineRule="auto"/>
              <w:rPr>
                <w:rFonts w:eastAsia="Times New Roman"/>
                <w:color w:val="000000"/>
              </w:rPr>
            </w:pPr>
          </w:p>
        </w:tc>
        <w:tc>
          <w:tcPr>
            <w:tcW w:w="972" w:type="dxa"/>
            <w:tcBorders>
              <w:top w:val="nil"/>
              <w:left w:val="nil"/>
              <w:bottom w:val="nil"/>
              <w:right w:val="single" w:sz="8" w:space="0" w:color="auto"/>
            </w:tcBorders>
            <w:shd w:val="clear" w:color="auto" w:fill="auto"/>
            <w:noWrap/>
            <w:vAlign w:val="bottom"/>
            <w:hideMark/>
          </w:tcPr>
          <w:p w14:paraId="3FD46E0D"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r w:rsidR="00974818" w:rsidRPr="006B65F1" w14:paraId="74BD6316" w14:textId="77777777" w:rsidTr="00E04892">
        <w:trPr>
          <w:trHeight w:val="300"/>
        </w:trPr>
        <w:tc>
          <w:tcPr>
            <w:tcW w:w="1700" w:type="dxa"/>
            <w:tcBorders>
              <w:top w:val="nil"/>
              <w:left w:val="single" w:sz="8" w:space="0" w:color="auto"/>
              <w:bottom w:val="single" w:sz="8" w:space="0" w:color="auto"/>
              <w:right w:val="nil"/>
            </w:tcBorders>
            <w:shd w:val="clear" w:color="auto" w:fill="auto"/>
            <w:noWrap/>
            <w:vAlign w:val="bottom"/>
            <w:hideMark/>
          </w:tcPr>
          <w:p w14:paraId="24AB986E"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xml:space="preserve">Platzer </w:t>
            </w:r>
          </w:p>
        </w:tc>
        <w:tc>
          <w:tcPr>
            <w:tcW w:w="1057" w:type="dxa"/>
            <w:tcBorders>
              <w:top w:val="nil"/>
              <w:left w:val="nil"/>
              <w:bottom w:val="single" w:sz="8" w:space="0" w:color="auto"/>
              <w:right w:val="nil"/>
            </w:tcBorders>
            <w:shd w:val="clear" w:color="auto" w:fill="auto"/>
            <w:noWrap/>
            <w:vAlign w:val="bottom"/>
            <w:hideMark/>
          </w:tcPr>
          <w:p w14:paraId="66037299"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863" w:type="dxa"/>
            <w:tcBorders>
              <w:top w:val="nil"/>
              <w:left w:val="nil"/>
              <w:bottom w:val="single" w:sz="8" w:space="0" w:color="auto"/>
              <w:right w:val="nil"/>
            </w:tcBorders>
            <w:shd w:val="clear" w:color="auto" w:fill="auto"/>
            <w:noWrap/>
            <w:vAlign w:val="bottom"/>
            <w:hideMark/>
          </w:tcPr>
          <w:p w14:paraId="2D505217"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960" w:type="dxa"/>
            <w:tcBorders>
              <w:top w:val="nil"/>
              <w:left w:val="nil"/>
              <w:bottom w:val="single" w:sz="8" w:space="0" w:color="auto"/>
              <w:right w:val="nil"/>
            </w:tcBorders>
            <w:shd w:val="clear" w:color="auto" w:fill="auto"/>
            <w:noWrap/>
            <w:vAlign w:val="bottom"/>
            <w:hideMark/>
          </w:tcPr>
          <w:p w14:paraId="7D6A1584" w14:textId="77777777" w:rsidR="00974818" w:rsidRPr="00DE14A5" w:rsidRDefault="00974818" w:rsidP="00E04892">
            <w:pPr>
              <w:spacing w:after="0" w:line="240" w:lineRule="auto"/>
              <w:jc w:val="right"/>
              <w:rPr>
                <w:rFonts w:eastAsia="Times New Roman"/>
                <w:color w:val="000000"/>
              </w:rPr>
            </w:pPr>
            <w:r w:rsidRPr="00DE14A5">
              <w:rPr>
                <w:rFonts w:eastAsia="Times New Roman"/>
                <w:color w:val="000000"/>
              </w:rPr>
              <w:t>100</w:t>
            </w:r>
          </w:p>
        </w:tc>
        <w:tc>
          <w:tcPr>
            <w:tcW w:w="1620" w:type="dxa"/>
            <w:tcBorders>
              <w:top w:val="nil"/>
              <w:left w:val="nil"/>
              <w:bottom w:val="single" w:sz="8" w:space="0" w:color="auto"/>
              <w:right w:val="nil"/>
            </w:tcBorders>
            <w:shd w:val="clear" w:color="auto" w:fill="auto"/>
            <w:noWrap/>
            <w:vAlign w:val="bottom"/>
            <w:hideMark/>
          </w:tcPr>
          <w:p w14:paraId="69C86EFF"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No</w:t>
            </w:r>
          </w:p>
        </w:tc>
        <w:tc>
          <w:tcPr>
            <w:tcW w:w="972" w:type="dxa"/>
            <w:tcBorders>
              <w:top w:val="nil"/>
              <w:left w:val="nil"/>
              <w:bottom w:val="single" w:sz="8" w:space="0" w:color="auto"/>
              <w:right w:val="nil"/>
            </w:tcBorders>
            <w:shd w:val="clear" w:color="auto" w:fill="auto"/>
            <w:noWrap/>
            <w:vAlign w:val="bottom"/>
            <w:hideMark/>
          </w:tcPr>
          <w:p w14:paraId="49572B31"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c>
          <w:tcPr>
            <w:tcW w:w="972" w:type="dxa"/>
            <w:tcBorders>
              <w:top w:val="nil"/>
              <w:left w:val="nil"/>
              <w:bottom w:val="single" w:sz="8" w:space="0" w:color="auto"/>
              <w:right w:val="single" w:sz="8" w:space="0" w:color="auto"/>
            </w:tcBorders>
            <w:shd w:val="clear" w:color="auto" w:fill="auto"/>
            <w:noWrap/>
            <w:vAlign w:val="bottom"/>
            <w:hideMark/>
          </w:tcPr>
          <w:p w14:paraId="3020C8A0" w14:textId="77777777" w:rsidR="00974818" w:rsidRPr="00DE14A5" w:rsidRDefault="00974818" w:rsidP="00E04892">
            <w:pPr>
              <w:spacing w:after="0" w:line="240" w:lineRule="auto"/>
              <w:rPr>
                <w:rFonts w:eastAsia="Times New Roman"/>
                <w:color w:val="000000"/>
              </w:rPr>
            </w:pPr>
            <w:r w:rsidRPr="00DE14A5">
              <w:rPr>
                <w:rFonts w:eastAsia="Times New Roman"/>
                <w:color w:val="000000"/>
              </w:rPr>
              <w:t> </w:t>
            </w:r>
          </w:p>
        </w:tc>
      </w:tr>
    </w:tbl>
    <w:p w14:paraId="208F2F57" w14:textId="70E61E54" w:rsidR="00974818" w:rsidRPr="00BF50C4" w:rsidRDefault="00974818" w:rsidP="00974818">
      <w:pPr>
        <w:rPr>
          <w:sz w:val="18"/>
          <w:szCs w:val="18"/>
        </w:rPr>
      </w:pPr>
      <w:r w:rsidRPr="00BF50C4">
        <w:rPr>
          <w:sz w:val="18"/>
          <w:szCs w:val="18"/>
          <w:lang w:val="en-GB"/>
        </w:rPr>
        <w:t>Tab</w:t>
      </w:r>
      <w:r w:rsidR="003E6C6B" w:rsidRPr="00BF50C4">
        <w:rPr>
          <w:sz w:val="18"/>
          <w:szCs w:val="18"/>
          <w:lang w:val="en-GB"/>
        </w:rPr>
        <w:t>e</w:t>
      </w:r>
      <w:r w:rsidRPr="00BF50C4">
        <w:rPr>
          <w:sz w:val="18"/>
          <w:szCs w:val="18"/>
          <w:lang w:val="en-GB"/>
        </w:rPr>
        <w:t xml:space="preserve">l </w:t>
      </w:r>
      <w:r w:rsidR="003E6C6B" w:rsidRPr="00BF50C4">
        <w:rPr>
          <w:sz w:val="18"/>
          <w:szCs w:val="18"/>
          <w:lang w:val="en-GB"/>
        </w:rPr>
        <w:t>3</w:t>
      </w:r>
      <w:r w:rsidRPr="00BF50C4">
        <w:rPr>
          <w:sz w:val="18"/>
          <w:szCs w:val="18"/>
          <w:lang w:val="en-GB"/>
        </w:rPr>
        <w:t xml:space="preserve"> Real estate compliance and voluntary </w:t>
      </w:r>
      <w:r w:rsidR="006B65F1" w:rsidRPr="00BF50C4">
        <w:rPr>
          <w:sz w:val="18"/>
          <w:szCs w:val="18"/>
          <w:lang w:val="en-GB"/>
        </w:rPr>
        <w:t xml:space="preserve">compliance </w:t>
      </w:r>
      <w:r w:rsidRPr="00BF50C4">
        <w:rPr>
          <w:sz w:val="18"/>
          <w:szCs w:val="18"/>
          <w:lang w:val="en-GB"/>
        </w:rPr>
        <w:t>2021</w:t>
      </w:r>
      <w:r w:rsidR="006B65F1" w:rsidRPr="00BF50C4">
        <w:rPr>
          <w:sz w:val="18"/>
          <w:szCs w:val="18"/>
          <w:lang w:val="en-GB"/>
        </w:rPr>
        <w:t xml:space="preserve">. </w:t>
      </w:r>
      <w:r w:rsidR="006B65F1" w:rsidRPr="00BF50C4">
        <w:rPr>
          <w:sz w:val="18"/>
          <w:szCs w:val="18"/>
        </w:rPr>
        <w:t>Atrium Ljungberg angiver sin “alignet" fordelt på to omsætning</w:t>
      </w:r>
      <w:r w:rsidR="00BF50C4" w:rsidRPr="00BF50C4">
        <w:rPr>
          <w:sz w:val="18"/>
          <w:szCs w:val="18"/>
        </w:rPr>
        <w:t>s</w:t>
      </w:r>
      <w:r w:rsidR="006B65F1" w:rsidRPr="00BF50C4">
        <w:rPr>
          <w:sz w:val="18"/>
          <w:szCs w:val="18"/>
        </w:rPr>
        <w:t>grupper 544 millioner og 948 millioner</w:t>
      </w:r>
      <w:r w:rsidR="00175CE5" w:rsidRPr="00BF50C4">
        <w:rPr>
          <w:sz w:val="18"/>
          <w:szCs w:val="18"/>
        </w:rPr>
        <w:t>.</w:t>
      </w:r>
    </w:p>
    <w:p w14:paraId="502E3A0A" w14:textId="3870438A" w:rsidR="00A07AD6" w:rsidRDefault="006B65F1" w:rsidP="00974818">
      <w:pPr>
        <w:rPr>
          <w:sz w:val="24"/>
          <w:szCs w:val="24"/>
        </w:rPr>
      </w:pPr>
      <w:r>
        <w:rPr>
          <w:rFonts w:ascii="Times New Roman" w:hAnsi="Times New Roman"/>
          <w:sz w:val="24"/>
          <w:szCs w:val="24"/>
        </w:rPr>
        <w:t xml:space="preserve">Som forberedelse til årsrapportering af regnskabsåret 2021 fik </w:t>
      </w:r>
      <w:r w:rsidR="00974818" w:rsidRPr="00DE14A5">
        <w:rPr>
          <w:sz w:val="24"/>
          <w:szCs w:val="24"/>
        </w:rPr>
        <w:t>19 ejendomsselskaber gennemfört en Cicerovurdering i 2020. Cicero</w:t>
      </w:r>
      <w:r>
        <w:rPr>
          <w:sz w:val="24"/>
          <w:szCs w:val="24"/>
        </w:rPr>
        <w:t xml:space="preserve"> Shades of Green</w:t>
      </w:r>
      <w:r w:rsidR="00974818" w:rsidRPr="00DE14A5">
        <w:rPr>
          <w:sz w:val="24"/>
          <w:szCs w:val="24"/>
        </w:rPr>
        <w:t xml:space="preserve"> er et uafhængigt konsulentfirma, med forankring i et miljøforskningsinstitut i Oslo, Norge</w:t>
      </w:r>
      <w:r>
        <w:rPr>
          <w:sz w:val="24"/>
          <w:szCs w:val="24"/>
        </w:rPr>
        <w:t xml:space="preserve"> (forkortet Cicero her)</w:t>
      </w:r>
      <w:r w:rsidR="00974818" w:rsidRPr="00DE14A5">
        <w:rPr>
          <w:sz w:val="24"/>
          <w:szCs w:val="24"/>
        </w:rPr>
        <w:t xml:space="preserve">. Med Cicerovurderingen fik selskaberne en uafhængig vurdering af om de var klar til at leve op til EU taxonomiens krav. </w:t>
      </w:r>
      <w:r w:rsidR="0063003F">
        <w:rPr>
          <w:sz w:val="24"/>
          <w:szCs w:val="24"/>
        </w:rPr>
        <w:t xml:space="preserve">Syv virksomheder beder specifikt om en vurdering af graden ad bæredygtighed målt med taxonomien (”taxonomy alignment) og får i de fleste tilfælde svaret ”likely aligned. </w:t>
      </w:r>
      <w:r w:rsidR="00974818" w:rsidRPr="00DE14A5">
        <w:rPr>
          <w:sz w:val="24"/>
          <w:szCs w:val="24"/>
        </w:rPr>
        <w:t>Virksomhederne brugte i mange tilfælde Ciceros vurderinger som underlag for at lave grønne obligationsprogrammer. Nogen har været meget aktive i 2021 når det gælder låntagning på denne måde (ex Platzer</w:t>
      </w:r>
      <w:r w:rsidR="003C0FC5">
        <w:rPr>
          <w:sz w:val="24"/>
          <w:szCs w:val="24"/>
        </w:rPr>
        <w:t>, se nedenfor</w:t>
      </w:r>
      <w:r w:rsidR="00974818" w:rsidRPr="00DE14A5">
        <w:rPr>
          <w:sz w:val="24"/>
          <w:szCs w:val="24"/>
        </w:rPr>
        <w:t>)</w:t>
      </w:r>
      <w:r w:rsidR="0063003F">
        <w:rPr>
          <w:sz w:val="24"/>
          <w:szCs w:val="24"/>
        </w:rPr>
        <w:t xml:space="preserve">. </w:t>
      </w:r>
    </w:p>
    <w:p w14:paraId="22AFEC3D" w14:textId="77777777" w:rsidR="0063003F" w:rsidRDefault="0063003F" w:rsidP="00974818">
      <w:pPr>
        <w:rPr>
          <w:sz w:val="24"/>
          <w:szCs w:val="24"/>
        </w:rPr>
      </w:pPr>
    </w:p>
    <w:p w14:paraId="6C2FEC8C" w14:textId="77777777" w:rsidR="00A07AD6" w:rsidRDefault="00A07AD6" w:rsidP="00974818">
      <w:pPr>
        <w:rPr>
          <w:sz w:val="24"/>
          <w:szCs w:val="24"/>
        </w:rPr>
      </w:pPr>
    </w:p>
    <w:tbl>
      <w:tblPr>
        <w:tblW w:w="11175" w:type="dxa"/>
        <w:tblLook w:val="04A0" w:firstRow="1" w:lastRow="0" w:firstColumn="1" w:lastColumn="0" w:noHBand="0" w:noVBand="1"/>
      </w:tblPr>
      <w:tblGrid>
        <w:gridCol w:w="460"/>
        <w:gridCol w:w="2339"/>
        <w:gridCol w:w="152"/>
        <w:gridCol w:w="18"/>
        <w:gridCol w:w="76"/>
        <w:gridCol w:w="155"/>
        <w:gridCol w:w="7"/>
        <w:gridCol w:w="9"/>
        <w:gridCol w:w="87"/>
        <w:gridCol w:w="59"/>
        <w:gridCol w:w="110"/>
        <w:gridCol w:w="6"/>
        <w:gridCol w:w="47"/>
        <w:gridCol w:w="75"/>
        <w:gridCol w:w="77"/>
        <w:gridCol w:w="14"/>
        <w:gridCol w:w="107"/>
        <w:gridCol w:w="315"/>
        <w:gridCol w:w="312"/>
        <w:gridCol w:w="6"/>
        <w:gridCol w:w="201"/>
        <w:gridCol w:w="80"/>
        <w:gridCol w:w="65"/>
        <w:gridCol w:w="14"/>
        <w:gridCol w:w="422"/>
        <w:gridCol w:w="663"/>
        <w:gridCol w:w="59"/>
        <w:gridCol w:w="223"/>
        <w:gridCol w:w="9"/>
        <w:gridCol w:w="150"/>
        <w:gridCol w:w="264"/>
        <w:gridCol w:w="654"/>
        <w:gridCol w:w="59"/>
        <w:gridCol w:w="36"/>
        <w:gridCol w:w="405"/>
        <w:gridCol w:w="9"/>
        <w:gridCol w:w="205"/>
        <w:gridCol w:w="1057"/>
        <w:gridCol w:w="45"/>
        <w:gridCol w:w="22"/>
        <w:gridCol w:w="46"/>
        <w:gridCol w:w="57"/>
        <w:gridCol w:w="16"/>
        <w:gridCol w:w="112"/>
        <w:gridCol w:w="786"/>
        <w:gridCol w:w="163"/>
        <w:gridCol w:w="160"/>
        <w:gridCol w:w="338"/>
        <w:gridCol w:w="653"/>
        <w:gridCol w:w="114"/>
        <w:gridCol w:w="246"/>
        <w:gridCol w:w="144"/>
      </w:tblGrid>
      <w:tr w:rsidR="005B1AC3" w:rsidRPr="00A07AD6" w14:paraId="47B1FA87" w14:textId="77777777" w:rsidTr="005B1AC3">
        <w:trPr>
          <w:gridAfter w:val="5"/>
          <w:wAfter w:w="837" w:type="dxa"/>
          <w:trHeight w:val="312"/>
        </w:trPr>
        <w:tc>
          <w:tcPr>
            <w:tcW w:w="460" w:type="dxa"/>
            <w:tcBorders>
              <w:top w:val="single" w:sz="8" w:space="0" w:color="auto"/>
              <w:left w:val="single" w:sz="8" w:space="0" w:color="auto"/>
              <w:bottom w:val="nil"/>
              <w:right w:val="nil"/>
            </w:tcBorders>
            <w:shd w:val="clear" w:color="auto" w:fill="auto"/>
            <w:noWrap/>
            <w:vAlign w:val="bottom"/>
            <w:hideMark/>
          </w:tcPr>
          <w:p w14:paraId="7924E8B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2509" w:type="dxa"/>
            <w:gridSpan w:val="3"/>
            <w:tcBorders>
              <w:top w:val="single" w:sz="8" w:space="0" w:color="auto"/>
              <w:left w:val="nil"/>
              <w:bottom w:val="nil"/>
              <w:right w:val="nil"/>
            </w:tcBorders>
            <w:shd w:val="clear" w:color="auto" w:fill="auto"/>
            <w:noWrap/>
            <w:vAlign w:val="bottom"/>
            <w:hideMark/>
          </w:tcPr>
          <w:p w14:paraId="18019D56" w14:textId="77777777" w:rsidR="00A07AD6" w:rsidRPr="00A07AD6" w:rsidRDefault="00A07AD6" w:rsidP="00A07AD6">
            <w:pPr>
              <w:spacing w:after="0" w:line="240" w:lineRule="auto"/>
              <w:rPr>
                <w:rFonts w:eastAsia="Times New Roman" w:cs="Calibri"/>
                <w:b/>
                <w:bCs/>
                <w:color w:val="000000"/>
              </w:rPr>
            </w:pPr>
            <w:r w:rsidRPr="00A07AD6">
              <w:rPr>
                <w:rFonts w:eastAsia="Times New Roman" w:cs="Calibri"/>
                <w:b/>
                <w:bCs/>
                <w:color w:val="000000"/>
              </w:rPr>
              <w:t xml:space="preserve">FASTIGHETSFÖRETAG </w:t>
            </w:r>
          </w:p>
        </w:tc>
        <w:tc>
          <w:tcPr>
            <w:tcW w:w="334" w:type="dxa"/>
            <w:gridSpan w:val="5"/>
            <w:tcBorders>
              <w:top w:val="single" w:sz="8" w:space="0" w:color="auto"/>
              <w:left w:val="nil"/>
              <w:bottom w:val="nil"/>
              <w:right w:val="nil"/>
            </w:tcBorders>
            <w:shd w:val="clear" w:color="auto" w:fill="auto"/>
            <w:noWrap/>
            <w:vAlign w:val="bottom"/>
            <w:hideMark/>
          </w:tcPr>
          <w:p w14:paraId="10FDBDB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297" w:type="dxa"/>
            <w:gridSpan w:val="5"/>
            <w:tcBorders>
              <w:top w:val="single" w:sz="8" w:space="0" w:color="auto"/>
              <w:left w:val="nil"/>
              <w:bottom w:val="nil"/>
              <w:right w:val="nil"/>
            </w:tcBorders>
            <w:shd w:val="clear" w:color="auto" w:fill="auto"/>
            <w:noWrap/>
            <w:vAlign w:val="bottom"/>
            <w:hideMark/>
          </w:tcPr>
          <w:p w14:paraId="7162F3C8"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6490" w:type="dxa"/>
            <w:gridSpan w:val="31"/>
            <w:tcBorders>
              <w:top w:val="single" w:sz="8" w:space="0" w:color="auto"/>
              <w:left w:val="nil"/>
              <w:bottom w:val="nil"/>
              <w:right w:val="nil"/>
            </w:tcBorders>
            <w:shd w:val="clear" w:color="auto" w:fill="auto"/>
            <w:noWrap/>
            <w:vAlign w:val="bottom"/>
            <w:hideMark/>
          </w:tcPr>
          <w:p w14:paraId="7C2F409B" w14:textId="77777777" w:rsidR="00A07AD6" w:rsidRPr="00A07AD6" w:rsidRDefault="00A07AD6" w:rsidP="00A07AD6">
            <w:pPr>
              <w:spacing w:after="0" w:line="240" w:lineRule="auto"/>
              <w:jc w:val="center"/>
              <w:rPr>
                <w:rFonts w:eastAsia="Times New Roman" w:cs="Calibri"/>
                <w:b/>
                <w:bCs/>
                <w:color w:val="000000"/>
                <w:sz w:val="24"/>
                <w:szCs w:val="24"/>
              </w:rPr>
            </w:pPr>
            <w:r w:rsidRPr="00A07AD6">
              <w:rPr>
                <w:rFonts w:eastAsia="Times New Roman" w:cs="Calibri"/>
                <w:b/>
                <w:bCs/>
                <w:color w:val="000000"/>
                <w:sz w:val="24"/>
                <w:szCs w:val="24"/>
              </w:rPr>
              <w:t>Cicero</w:t>
            </w:r>
          </w:p>
        </w:tc>
        <w:tc>
          <w:tcPr>
            <w:tcW w:w="248" w:type="dxa"/>
            <w:gridSpan w:val="2"/>
            <w:tcBorders>
              <w:top w:val="single" w:sz="8" w:space="0" w:color="auto"/>
              <w:left w:val="nil"/>
              <w:bottom w:val="nil"/>
              <w:right w:val="single" w:sz="8" w:space="0" w:color="auto"/>
            </w:tcBorders>
            <w:shd w:val="clear" w:color="auto" w:fill="auto"/>
            <w:noWrap/>
            <w:vAlign w:val="bottom"/>
            <w:hideMark/>
          </w:tcPr>
          <w:p w14:paraId="3BCE6B60" w14:textId="77777777" w:rsidR="00A07AD6" w:rsidRPr="00A07AD6" w:rsidRDefault="00A07AD6" w:rsidP="00A07AD6">
            <w:pPr>
              <w:spacing w:after="0" w:line="240" w:lineRule="auto"/>
              <w:jc w:val="center"/>
              <w:rPr>
                <w:rFonts w:eastAsia="Times New Roman" w:cs="Calibri"/>
                <w:b/>
                <w:bCs/>
                <w:color w:val="000000"/>
              </w:rPr>
            </w:pPr>
            <w:r w:rsidRPr="00A07AD6">
              <w:rPr>
                <w:rFonts w:eastAsia="Times New Roman" w:cs="Calibri"/>
                <w:b/>
                <w:bCs/>
                <w:color w:val="000000"/>
              </w:rPr>
              <w:t> </w:t>
            </w:r>
          </w:p>
        </w:tc>
      </w:tr>
      <w:tr w:rsidR="005B1AC3" w:rsidRPr="00A07AD6" w14:paraId="1D874D4B" w14:textId="77777777" w:rsidTr="005B1AC3">
        <w:trPr>
          <w:gridAfter w:val="3"/>
          <w:wAfter w:w="597" w:type="dxa"/>
          <w:trHeight w:val="840"/>
        </w:trPr>
        <w:tc>
          <w:tcPr>
            <w:tcW w:w="460" w:type="dxa"/>
            <w:tcBorders>
              <w:top w:val="nil"/>
              <w:left w:val="single" w:sz="8" w:space="0" w:color="auto"/>
              <w:bottom w:val="single" w:sz="4" w:space="0" w:color="auto"/>
              <w:right w:val="nil"/>
            </w:tcBorders>
            <w:shd w:val="clear" w:color="auto" w:fill="auto"/>
            <w:noWrap/>
            <w:vAlign w:val="bottom"/>
            <w:hideMark/>
          </w:tcPr>
          <w:p w14:paraId="2E95C6B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2491" w:type="dxa"/>
            <w:gridSpan w:val="2"/>
            <w:tcBorders>
              <w:top w:val="nil"/>
              <w:left w:val="nil"/>
              <w:bottom w:val="single" w:sz="4" w:space="0" w:color="auto"/>
              <w:right w:val="nil"/>
            </w:tcBorders>
            <w:shd w:val="clear" w:color="auto" w:fill="auto"/>
            <w:noWrap/>
            <w:vAlign w:val="bottom"/>
            <w:hideMark/>
          </w:tcPr>
          <w:p w14:paraId="42F4191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265" w:type="dxa"/>
            <w:gridSpan w:val="5"/>
            <w:tcBorders>
              <w:top w:val="nil"/>
              <w:left w:val="nil"/>
              <w:bottom w:val="single" w:sz="4" w:space="0" w:color="auto"/>
              <w:right w:val="nil"/>
            </w:tcBorders>
            <w:shd w:val="clear" w:color="auto" w:fill="auto"/>
            <w:noWrap/>
            <w:vAlign w:val="bottom"/>
            <w:hideMark/>
          </w:tcPr>
          <w:p w14:paraId="2973685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309" w:type="dxa"/>
            <w:gridSpan w:val="5"/>
            <w:tcBorders>
              <w:top w:val="nil"/>
              <w:left w:val="nil"/>
              <w:bottom w:val="single" w:sz="4" w:space="0" w:color="auto"/>
              <w:right w:val="nil"/>
            </w:tcBorders>
            <w:shd w:val="clear" w:color="auto" w:fill="auto"/>
            <w:noWrap/>
            <w:vAlign w:val="bottom"/>
            <w:hideMark/>
          </w:tcPr>
          <w:p w14:paraId="4B75A08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273" w:type="dxa"/>
            <w:gridSpan w:val="4"/>
            <w:tcBorders>
              <w:top w:val="nil"/>
              <w:left w:val="nil"/>
              <w:bottom w:val="single" w:sz="4" w:space="0" w:color="auto"/>
              <w:right w:val="nil"/>
            </w:tcBorders>
            <w:shd w:val="clear" w:color="auto" w:fill="auto"/>
            <w:noWrap/>
            <w:vAlign w:val="bottom"/>
            <w:hideMark/>
          </w:tcPr>
          <w:p w14:paraId="7A9D12BE"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315" w:type="dxa"/>
            <w:tcBorders>
              <w:top w:val="nil"/>
              <w:left w:val="nil"/>
              <w:bottom w:val="single" w:sz="4" w:space="0" w:color="auto"/>
              <w:right w:val="nil"/>
            </w:tcBorders>
            <w:shd w:val="clear" w:color="auto" w:fill="auto"/>
            <w:noWrap/>
            <w:vAlign w:val="bottom"/>
            <w:hideMark/>
          </w:tcPr>
          <w:p w14:paraId="76E4F4D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1100" w:type="dxa"/>
            <w:gridSpan w:val="7"/>
            <w:tcBorders>
              <w:top w:val="nil"/>
              <w:left w:val="nil"/>
              <w:bottom w:val="single" w:sz="4" w:space="0" w:color="auto"/>
              <w:right w:val="nil"/>
            </w:tcBorders>
            <w:shd w:val="clear" w:color="auto" w:fill="auto"/>
            <w:vAlign w:val="bottom"/>
            <w:hideMark/>
          </w:tcPr>
          <w:p w14:paraId="4891B2A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date in 2021</w:t>
            </w:r>
          </w:p>
        </w:tc>
        <w:tc>
          <w:tcPr>
            <w:tcW w:w="1368" w:type="dxa"/>
            <w:gridSpan w:val="6"/>
            <w:tcBorders>
              <w:top w:val="nil"/>
              <w:left w:val="nil"/>
              <w:bottom w:val="single" w:sz="4" w:space="0" w:color="auto"/>
              <w:right w:val="nil"/>
            </w:tcBorders>
            <w:shd w:val="clear" w:color="auto" w:fill="auto"/>
            <w:vAlign w:val="bottom"/>
            <w:hideMark/>
          </w:tcPr>
          <w:p w14:paraId="187F5C5B"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governance evaluation</w:t>
            </w:r>
          </w:p>
        </w:tc>
        <w:tc>
          <w:tcPr>
            <w:tcW w:w="1368" w:type="dxa"/>
            <w:gridSpan w:val="6"/>
            <w:tcBorders>
              <w:top w:val="nil"/>
              <w:left w:val="nil"/>
              <w:bottom w:val="single" w:sz="4" w:space="0" w:color="auto"/>
              <w:right w:val="nil"/>
            </w:tcBorders>
            <w:shd w:val="clear" w:color="auto" w:fill="auto"/>
            <w:vAlign w:val="bottom"/>
            <w:hideMark/>
          </w:tcPr>
          <w:p w14:paraId="6906BE90" w14:textId="673CEBED"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sustain-</w:t>
            </w:r>
            <w:r w:rsidR="0040460C">
              <w:rPr>
                <w:rFonts w:eastAsia="Times New Roman" w:cs="Calibri"/>
                <w:color w:val="000000"/>
              </w:rPr>
              <w:t xml:space="preserve"> </w:t>
            </w:r>
            <w:r w:rsidRPr="00A07AD6">
              <w:rPr>
                <w:rFonts w:eastAsia="Times New Roman" w:cs="Calibri"/>
                <w:color w:val="000000"/>
              </w:rPr>
              <w:t>ability evaluation</w:t>
            </w:r>
          </w:p>
        </w:tc>
        <w:tc>
          <w:tcPr>
            <w:tcW w:w="1170" w:type="dxa"/>
            <w:gridSpan w:val="4"/>
            <w:tcBorders>
              <w:top w:val="nil"/>
              <w:left w:val="nil"/>
              <w:bottom w:val="single" w:sz="4" w:space="0" w:color="auto"/>
              <w:right w:val="nil"/>
            </w:tcBorders>
            <w:shd w:val="clear" w:color="auto" w:fill="auto"/>
            <w:noWrap/>
            <w:vAlign w:val="bottom"/>
            <w:hideMark/>
          </w:tcPr>
          <w:p w14:paraId="42C97A4C"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type</w:t>
            </w:r>
          </w:p>
        </w:tc>
        <w:tc>
          <w:tcPr>
            <w:tcW w:w="1223" w:type="dxa"/>
            <w:gridSpan w:val="6"/>
            <w:tcBorders>
              <w:top w:val="nil"/>
              <w:left w:val="nil"/>
              <w:bottom w:val="single" w:sz="4" w:space="0" w:color="auto"/>
              <w:right w:val="nil"/>
            </w:tcBorders>
            <w:shd w:val="clear" w:color="auto" w:fill="auto"/>
            <w:vAlign w:val="bottom"/>
            <w:hideMark/>
          </w:tcPr>
          <w:p w14:paraId="4665833C" w14:textId="77777777" w:rsidR="00A07AD6" w:rsidRPr="00DE14A5" w:rsidRDefault="00A07AD6" w:rsidP="0063003F">
            <w:pPr>
              <w:spacing w:after="0" w:line="240" w:lineRule="auto"/>
              <w:rPr>
                <w:rFonts w:eastAsia="Times New Roman" w:cs="Calibri"/>
                <w:color w:val="000000"/>
                <w:sz w:val="20"/>
                <w:szCs w:val="20"/>
              </w:rPr>
            </w:pPr>
            <w:r w:rsidRPr="00DE14A5">
              <w:rPr>
                <w:rFonts w:eastAsia="Times New Roman" w:cs="Calibri"/>
                <w:color w:val="000000"/>
                <w:sz w:val="20"/>
                <w:szCs w:val="20"/>
              </w:rPr>
              <w:t>taxonomy alignment</w:t>
            </w:r>
          </w:p>
        </w:tc>
        <w:tc>
          <w:tcPr>
            <w:tcW w:w="236" w:type="dxa"/>
            <w:gridSpan w:val="2"/>
            <w:tcBorders>
              <w:top w:val="nil"/>
              <w:left w:val="nil"/>
              <w:bottom w:val="single" w:sz="4" w:space="0" w:color="auto"/>
              <w:right w:val="single" w:sz="8" w:space="0" w:color="auto"/>
            </w:tcBorders>
            <w:shd w:val="clear" w:color="auto" w:fill="auto"/>
            <w:vAlign w:val="bottom"/>
            <w:hideMark/>
          </w:tcPr>
          <w:p w14:paraId="3F687588" w14:textId="77777777" w:rsidR="00A07AD6" w:rsidRPr="00DE14A5" w:rsidRDefault="00A07AD6" w:rsidP="00A07AD6">
            <w:pPr>
              <w:spacing w:after="0" w:line="240" w:lineRule="auto"/>
              <w:rPr>
                <w:rFonts w:eastAsia="Times New Roman" w:cs="Calibri"/>
                <w:color w:val="000000"/>
                <w:sz w:val="20"/>
                <w:szCs w:val="20"/>
              </w:rPr>
            </w:pPr>
            <w:r w:rsidRPr="00DE14A5">
              <w:rPr>
                <w:rFonts w:eastAsia="Times New Roman" w:cs="Calibri"/>
                <w:color w:val="000000"/>
                <w:sz w:val="20"/>
                <w:szCs w:val="20"/>
              </w:rPr>
              <w:t>Assessed</w:t>
            </w:r>
          </w:p>
        </w:tc>
      </w:tr>
      <w:tr w:rsidR="005B1AC3" w:rsidRPr="00A07AD6" w14:paraId="2F97C8C2" w14:textId="77777777" w:rsidTr="005B1AC3">
        <w:trPr>
          <w:trHeight w:val="288"/>
        </w:trPr>
        <w:tc>
          <w:tcPr>
            <w:tcW w:w="460" w:type="dxa"/>
            <w:tcBorders>
              <w:top w:val="nil"/>
              <w:left w:val="single" w:sz="8" w:space="0" w:color="auto"/>
              <w:bottom w:val="nil"/>
              <w:right w:val="nil"/>
            </w:tcBorders>
            <w:shd w:val="clear" w:color="auto" w:fill="auto"/>
            <w:noWrap/>
            <w:vAlign w:val="bottom"/>
            <w:hideMark/>
          </w:tcPr>
          <w:p w14:paraId="146CCFCC" w14:textId="77777777" w:rsidR="00A07AD6" w:rsidRPr="00A07AD6" w:rsidRDefault="00A07AD6" w:rsidP="00DE14A5">
            <w:pPr>
              <w:spacing w:after="0" w:line="240" w:lineRule="auto"/>
              <w:ind w:left="-36" w:right="-63"/>
              <w:jc w:val="center"/>
              <w:rPr>
                <w:rFonts w:eastAsia="Times New Roman" w:cs="Calibri"/>
                <w:color w:val="000000"/>
              </w:rPr>
            </w:pPr>
            <w:r w:rsidRPr="00A07AD6">
              <w:rPr>
                <w:rFonts w:eastAsia="Times New Roman" w:cs="Calibri"/>
                <w:color w:val="000000"/>
              </w:rPr>
              <w:t>1</w:t>
            </w:r>
          </w:p>
        </w:tc>
        <w:tc>
          <w:tcPr>
            <w:tcW w:w="2740" w:type="dxa"/>
            <w:gridSpan w:val="5"/>
            <w:tcBorders>
              <w:top w:val="nil"/>
              <w:left w:val="nil"/>
              <w:bottom w:val="nil"/>
              <w:right w:val="nil"/>
            </w:tcBorders>
            <w:shd w:val="clear" w:color="auto" w:fill="auto"/>
            <w:noWrap/>
            <w:vAlign w:val="center"/>
            <w:hideMark/>
          </w:tcPr>
          <w:p w14:paraId="2D6C8F71" w14:textId="77777777" w:rsidR="00A07AD6" w:rsidRPr="00A07AD6" w:rsidRDefault="00A07AD6" w:rsidP="00DE14A5">
            <w:pPr>
              <w:spacing w:after="0" w:line="240" w:lineRule="auto"/>
              <w:ind w:leftChars="-7" w:left="-2" w:hangingChars="6" w:hanging="13"/>
              <w:rPr>
                <w:rFonts w:eastAsia="Times New Roman" w:cs="Calibri"/>
                <w:color w:val="000000"/>
              </w:rPr>
            </w:pPr>
            <w:r w:rsidRPr="00A07AD6">
              <w:rPr>
                <w:rFonts w:eastAsia="Times New Roman" w:cs="Calibri"/>
                <w:color w:val="000000"/>
              </w:rPr>
              <w:t>Fastighets AB Stenvalvet</w:t>
            </w:r>
          </w:p>
        </w:tc>
        <w:tc>
          <w:tcPr>
            <w:tcW w:w="325" w:type="dxa"/>
            <w:gridSpan w:val="7"/>
            <w:tcBorders>
              <w:top w:val="nil"/>
              <w:left w:val="nil"/>
              <w:bottom w:val="nil"/>
              <w:right w:val="nil"/>
            </w:tcBorders>
            <w:shd w:val="clear" w:color="auto" w:fill="auto"/>
            <w:noWrap/>
            <w:vAlign w:val="bottom"/>
            <w:hideMark/>
          </w:tcPr>
          <w:p w14:paraId="38C79CB8" w14:textId="77777777" w:rsidR="00A07AD6" w:rsidRPr="00A07AD6" w:rsidRDefault="00A07AD6" w:rsidP="00A07AD6">
            <w:pPr>
              <w:spacing w:after="0" w:line="240" w:lineRule="auto"/>
              <w:ind w:firstLineChars="500" w:firstLine="1100"/>
              <w:rPr>
                <w:rFonts w:eastAsia="Times New Roman" w:cs="Calibri"/>
                <w:color w:val="000000"/>
              </w:rPr>
            </w:pPr>
          </w:p>
        </w:tc>
        <w:tc>
          <w:tcPr>
            <w:tcW w:w="1107" w:type="dxa"/>
            <w:gridSpan w:val="8"/>
            <w:tcBorders>
              <w:top w:val="nil"/>
              <w:left w:val="nil"/>
              <w:bottom w:val="nil"/>
              <w:right w:val="nil"/>
            </w:tcBorders>
            <w:shd w:val="clear" w:color="auto" w:fill="auto"/>
            <w:noWrap/>
            <w:vAlign w:val="bottom"/>
            <w:hideMark/>
          </w:tcPr>
          <w:p w14:paraId="5CD4214C" w14:textId="4883A9E2" w:rsidR="00A07AD6" w:rsidRPr="00A07AD6" w:rsidRDefault="003E6C6B" w:rsidP="00A07AD6">
            <w:pPr>
              <w:spacing w:after="0" w:line="240" w:lineRule="auto"/>
              <w:rPr>
                <w:rFonts w:eastAsia="Times New Roman" w:cs="Calibri"/>
                <w:color w:val="000000"/>
              </w:rPr>
            </w:pPr>
            <w:r w:rsidRPr="00A07AD6">
              <w:rPr>
                <w:rFonts w:eastAsia="Times New Roman" w:cs="Calibri"/>
                <w:color w:val="000000"/>
              </w:rPr>
              <w:t>M</w:t>
            </w:r>
            <w:r w:rsidR="00A07AD6" w:rsidRPr="00A07AD6">
              <w:rPr>
                <w:rFonts w:eastAsia="Times New Roman" w:cs="Calibri"/>
                <w:color w:val="000000"/>
              </w:rPr>
              <w:t>ay</w:t>
            </w:r>
          </w:p>
        </w:tc>
        <w:tc>
          <w:tcPr>
            <w:tcW w:w="1685" w:type="dxa"/>
            <w:gridSpan w:val="9"/>
            <w:tcBorders>
              <w:top w:val="nil"/>
              <w:left w:val="nil"/>
              <w:bottom w:val="nil"/>
              <w:right w:val="nil"/>
            </w:tcBorders>
            <w:shd w:val="clear" w:color="auto" w:fill="auto"/>
            <w:noWrap/>
            <w:vAlign w:val="bottom"/>
            <w:hideMark/>
          </w:tcPr>
          <w:p w14:paraId="510E545F"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013" w:type="dxa"/>
            <w:gridSpan w:val="4"/>
            <w:tcBorders>
              <w:top w:val="nil"/>
              <w:left w:val="nil"/>
              <w:bottom w:val="nil"/>
              <w:right w:val="nil"/>
            </w:tcBorders>
            <w:shd w:val="clear" w:color="auto" w:fill="auto"/>
            <w:noWrap/>
            <w:vAlign w:val="bottom"/>
            <w:hideMark/>
          </w:tcPr>
          <w:p w14:paraId="2DC7B2B4" w14:textId="77777777" w:rsidR="00A07AD6" w:rsidRPr="00A07AD6" w:rsidRDefault="00A07AD6" w:rsidP="00A07AD6">
            <w:pPr>
              <w:spacing w:after="0" w:line="240" w:lineRule="auto"/>
              <w:rPr>
                <w:rFonts w:eastAsia="Times New Roman" w:cs="Calibri"/>
                <w:color w:val="000000"/>
              </w:rPr>
            </w:pPr>
          </w:p>
        </w:tc>
        <w:tc>
          <w:tcPr>
            <w:tcW w:w="1974" w:type="dxa"/>
            <w:gridSpan w:val="10"/>
            <w:tcBorders>
              <w:top w:val="nil"/>
              <w:left w:val="nil"/>
              <w:bottom w:val="nil"/>
              <w:right w:val="nil"/>
            </w:tcBorders>
            <w:shd w:val="clear" w:color="auto" w:fill="auto"/>
            <w:noWrap/>
            <w:vAlign w:val="bottom"/>
            <w:hideMark/>
          </w:tcPr>
          <w:p w14:paraId="611F7656" w14:textId="77777777" w:rsidR="00A07AD6" w:rsidRPr="00DE14A5" w:rsidRDefault="00A07AD6" w:rsidP="00A07AD6">
            <w:pPr>
              <w:spacing w:after="0" w:line="240" w:lineRule="auto"/>
              <w:rPr>
                <w:rFonts w:eastAsia="Times New Roman" w:cs="Calibri"/>
                <w:color w:val="000000"/>
                <w:sz w:val="20"/>
                <w:szCs w:val="20"/>
              </w:rPr>
            </w:pPr>
            <w:r w:rsidRPr="00DE14A5">
              <w:rPr>
                <w:rFonts w:eastAsia="Times New Roman" w:cs="Calibri"/>
                <w:color w:val="000000"/>
                <w:sz w:val="20"/>
                <w:szCs w:val="20"/>
              </w:rPr>
              <w:t>green finance</w:t>
            </w:r>
          </w:p>
        </w:tc>
        <w:tc>
          <w:tcPr>
            <w:tcW w:w="1482" w:type="dxa"/>
            <w:gridSpan w:val="6"/>
            <w:tcBorders>
              <w:top w:val="nil"/>
              <w:left w:val="nil"/>
              <w:bottom w:val="nil"/>
              <w:right w:val="nil"/>
            </w:tcBorders>
            <w:shd w:val="clear" w:color="auto" w:fill="auto"/>
            <w:noWrap/>
            <w:vAlign w:val="bottom"/>
            <w:hideMark/>
          </w:tcPr>
          <w:p w14:paraId="0F0B9E02" w14:textId="77777777" w:rsidR="00A07AD6" w:rsidRPr="00DE14A5" w:rsidRDefault="00A07AD6" w:rsidP="00A07AD6">
            <w:pPr>
              <w:spacing w:after="0" w:line="240" w:lineRule="auto"/>
              <w:rPr>
                <w:rFonts w:eastAsia="Times New Roman" w:cs="Calibri"/>
                <w:color w:val="000000"/>
                <w:sz w:val="20"/>
                <w:szCs w:val="20"/>
              </w:rPr>
            </w:pPr>
            <w:r w:rsidRPr="00DE14A5">
              <w:rPr>
                <w:rFonts w:eastAsia="Times New Roman" w:cs="Calibri"/>
                <w:color w:val="000000"/>
                <w:sz w:val="20"/>
                <w:szCs w:val="20"/>
              </w:rPr>
              <w:t>not assessed</w:t>
            </w:r>
          </w:p>
        </w:tc>
        <w:tc>
          <w:tcPr>
            <w:tcW w:w="389" w:type="dxa"/>
            <w:gridSpan w:val="2"/>
            <w:tcBorders>
              <w:top w:val="nil"/>
              <w:left w:val="nil"/>
              <w:bottom w:val="nil"/>
              <w:right w:val="single" w:sz="8" w:space="0" w:color="auto"/>
            </w:tcBorders>
            <w:shd w:val="clear" w:color="auto" w:fill="auto"/>
            <w:noWrap/>
            <w:vAlign w:val="bottom"/>
            <w:hideMark/>
          </w:tcPr>
          <w:p w14:paraId="4BB96142"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09A7C600" w14:textId="77777777" w:rsidTr="005B1AC3">
        <w:trPr>
          <w:trHeight w:val="288"/>
        </w:trPr>
        <w:tc>
          <w:tcPr>
            <w:tcW w:w="460" w:type="dxa"/>
            <w:tcBorders>
              <w:top w:val="nil"/>
              <w:left w:val="single" w:sz="8" w:space="0" w:color="auto"/>
              <w:bottom w:val="nil"/>
              <w:right w:val="nil"/>
            </w:tcBorders>
            <w:shd w:val="clear" w:color="auto" w:fill="auto"/>
            <w:noWrap/>
            <w:vAlign w:val="bottom"/>
            <w:hideMark/>
          </w:tcPr>
          <w:p w14:paraId="017EE2EC"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2</w:t>
            </w:r>
          </w:p>
        </w:tc>
        <w:tc>
          <w:tcPr>
            <w:tcW w:w="2740" w:type="dxa"/>
            <w:gridSpan w:val="5"/>
            <w:tcBorders>
              <w:top w:val="nil"/>
              <w:left w:val="nil"/>
              <w:bottom w:val="nil"/>
              <w:right w:val="nil"/>
            </w:tcBorders>
            <w:shd w:val="clear" w:color="auto" w:fill="auto"/>
            <w:noWrap/>
            <w:vAlign w:val="center"/>
            <w:hideMark/>
          </w:tcPr>
          <w:p w14:paraId="7BD42D3B" w14:textId="77777777" w:rsidR="00A07AD6" w:rsidRPr="00A07AD6" w:rsidRDefault="00A07AD6" w:rsidP="00DE14A5">
            <w:pPr>
              <w:spacing w:after="0" w:line="240" w:lineRule="auto"/>
              <w:rPr>
                <w:rFonts w:eastAsia="Times New Roman" w:cs="Calibri"/>
                <w:color w:val="000000"/>
              </w:rPr>
            </w:pPr>
            <w:r w:rsidRPr="00A07AD6">
              <w:rPr>
                <w:rFonts w:eastAsia="Times New Roman" w:cs="Calibri"/>
                <w:color w:val="000000"/>
              </w:rPr>
              <w:t>Platzer Fastigheter AB</w:t>
            </w:r>
          </w:p>
        </w:tc>
        <w:tc>
          <w:tcPr>
            <w:tcW w:w="325" w:type="dxa"/>
            <w:gridSpan w:val="7"/>
            <w:tcBorders>
              <w:top w:val="nil"/>
              <w:left w:val="nil"/>
              <w:bottom w:val="nil"/>
              <w:right w:val="nil"/>
            </w:tcBorders>
            <w:shd w:val="clear" w:color="auto" w:fill="auto"/>
            <w:noWrap/>
            <w:vAlign w:val="bottom"/>
            <w:hideMark/>
          </w:tcPr>
          <w:p w14:paraId="15D824CD" w14:textId="77777777" w:rsidR="00A07AD6" w:rsidRPr="00A07AD6" w:rsidRDefault="00A07AD6" w:rsidP="00A07AD6">
            <w:pPr>
              <w:spacing w:after="0" w:line="240" w:lineRule="auto"/>
              <w:ind w:firstLineChars="500" w:firstLine="1100"/>
              <w:rPr>
                <w:rFonts w:eastAsia="Times New Roman" w:cs="Calibri"/>
                <w:color w:val="000000"/>
              </w:rPr>
            </w:pPr>
          </w:p>
        </w:tc>
        <w:tc>
          <w:tcPr>
            <w:tcW w:w="1107" w:type="dxa"/>
            <w:gridSpan w:val="8"/>
            <w:tcBorders>
              <w:top w:val="nil"/>
              <w:left w:val="nil"/>
              <w:bottom w:val="nil"/>
              <w:right w:val="nil"/>
            </w:tcBorders>
            <w:shd w:val="clear" w:color="auto" w:fill="auto"/>
            <w:noWrap/>
            <w:vAlign w:val="bottom"/>
            <w:hideMark/>
          </w:tcPr>
          <w:p w14:paraId="20088EF0" w14:textId="30891F58" w:rsidR="00A07AD6" w:rsidRPr="00A07AD6" w:rsidRDefault="003E6C6B" w:rsidP="00A07AD6">
            <w:pPr>
              <w:spacing w:after="0" w:line="240" w:lineRule="auto"/>
              <w:rPr>
                <w:rFonts w:eastAsia="Times New Roman" w:cs="Calibri"/>
                <w:color w:val="000000"/>
              </w:rPr>
            </w:pPr>
            <w:r>
              <w:rPr>
                <w:rFonts w:eastAsia="Times New Roman" w:cs="Calibri"/>
                <w:color w:val="000000"/>
              </w:rPr>
              <w:t>June</w:t>
            </w:r>
          </w:p>
        </w:tc>
        <w:tc>
          <w:tcPr>
            <w:tcW w:w="1685" w:type="dxa"/>
            <w:gridSpan w:val="9"/>
            <w:tcBorders>
              <w:top w:val="nil"/>
              <w:left w:val="nil"/>
              <w:bottom w:val="nil"/>
              <w:right w:val="nil"/>
            </w:tcBorders>
            <w:shd w:val="clear" w:color="auto" w:fill="auto"/>
            <w:noWrap/>
            <w:vAlign w:val="bottom"/>
            <w:hideMark/>
          </w:tcPr>
          <w:p w14:paraId="0360451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Nasdaq</w:t>
            </w:r>
          </w:p>
        </w:tc>
        <w:tc>
          <w:tcPr>
            <w:tcW w:w="1013" w:type="dxa"/>
            <w:gridSpan w:val="4"/>
            <w:tcBorders>
              <w:top w:val="nil"/>
              <w:left w:val="nil"/>
              <w:bottom w:val="nil"/>
              <w:right w:val="nil"/>
            </w:tcBorders>
            <w:shd w:val="clear" w:color="auto" w:fill="auto"/>
            <w:noWrap/>
            <w:vAlign w:val="bottom"/>
            <w:hideMark/>
          </w:tcPr>
          <w:p w14:paraId="1F4723CD" w14:textId="77777777" w:rsidR="00A07AD6" w:rsidRPr="00A07AD6" w:rsidRDefault="00A07AD6" w:rsidP="00A07AD6">
            <w:pPr>
              <w:spacing w:after="0" w:line="240" w:lineRule="auto"/>
              <w:rPr>
                <w:rFonts w:eastAsia="Times New Roman" w:cs="Calibri"/>
                <w:color w:val="000000"/>
              </w:rPr>
            </w:pPr>
          </w:p>
        </w:tc>
        <w:tc>
          <w:tcPr>
            <w:tcW w:w="1974" w:type="dxa"/>
            <w:gridSpan w:val="10"/>
            <w:tcBorders>
              <w:top w:val="nil"/>
              <w:left w:val="nil"/>
              <w:bottom w:val="nil"/>
              <w:right w:val="nil"/>
            </w:tcBorders>
            <w:shd w:val="clear" w:color="auto" w:fill="auto"/>
            <w:noWrap/>
            <w:vAlign w:val="bottom"/>
            <w:hideMark/>
          </w:tcPr>
          <w:p w14:paraId="07353BE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Nasdaq</w:t>
            </w:r>
          </w:p>
        </w:tc>
        <w:tc>
          <w:tcPr>
            <w:tcW w:w="1482" w:type="dxa"/>
            <w:gridSpan w:val="6"/>
            <w:tcBorders>
              <w:top w:val="nil"/>
              <w:left w:val="nil"/>
              <w:bottom w:val="nil"/>
              <w:right w:val="nil"/>
            </w:tcBorders>
            <w:shd w:val="clear" w:color="auto" w:fill="auto"/>
            <w:noWrap/>
            <w:vAlign w:val="bottom"/>
            <w:hideMark/>
          </w:tcPr>
          <w:p w14:paraId="2047CAE3"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likely aligned</w:t>
            </w:r>
          </w:p>
        </w:tc>
        <w:tc>
          <w:tcPr>
            <w:tcW w:w="389" w:type="dxa"/>
            <w:gridSpan w:val="2"/>
            <w:tcBorders>
              <w:top w:val="nil"/>
              <w:left w:val="nil"/>
              <w:bottom w:val="nil"/>
              <w:right w:val="single" w:sz="8" w:space="0" w:color="auto"/>
            </w:tcBorders>
            <w:shd w:val="clear" w:color="auto" w:fill="auto"/>
            <w:noWrap/>
            <w:vAlign w:val="bottom"/>
            <w:hideMark/>
          </w:tcPr>
          <w:p w14:paraId="7D3F224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x</w:t>
            </w:r>
          </w:p>
        </w:tc>
      </w:tr>
      <w:tr w:rsidR="005B1AC3" w:rsidRPr="00A07AD6" w14:paraId="1597682E" w14:textId="77777777" w:rsidTr="005B1AC3">
        <w:trPr>
          <w:trHeight w:val="288"/>
        </w:trPr>
        <w:tc>
          <w:tcPr>
            <w:tcW w:w="460" w:type="dxa"/>
            <w:tcBorders>
              <w:top w:val="nil"/>
              <w:left w:val="single" w:sz="8" w:space="0" w:color="auto"/>
              <w:bottom w:val="nil"/>
              <w:right w:val="nil"/>
            </w:tcBorders>
            <w:shd w:val="clear" w:color="auto" w:fill="auto"/>
            <w:noWrap/>
            <w:vAlign w:val="bottom"/>
            <w:hideMark/>
          </w:tcPr>
          <w:p w14:paraId="22DDC20A"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3</w:t>
            </w:r>
          </w:p>
        </w:tc>
        <w:tc>
          <w:tcPr>
            <w:tcW w:w="3065" w:type="dxa"/>
            <w:gridSpan w:val="12"/>
            <w:tcBorders>
              <w:top w:val="nil"/>
              <w:left w:val="nil"/>
              <w:bottom w:val="nil"/>
              <w:right w:val="nil"/>
            </w:tcBorders>
            <w:shd w:val="clear" w:color="auto" w:fill="auto"/>
            <w:noWrap/>
            <w:vAlign w:val="center"/>
            <w:hideMark/>
          </w:tcPr>
          <w:p w14:paraId="3069ABC3" w14:textId="77777777" w:rsidR="00A07AD6" w:rsidRPr="00A07AD6" w:rsidRDefault="00A07AD6" w:rsidP="00DE14A5">
            <w:pPr>
              <w:spacing w:after="0" w:line="240" w:lineRule="auto"/>
              <w:ind w:leftChars="-6" w:hangingChars="6" w:hanging="13"/>
              <w:rPr>
                <w:rFonts w:eastAsia="Times New Roman" w:cs="Calibri"/>
                <w:color w:val="000000"/>
              </w:rPr>
            </w:pPr>
            <w:r w:rsidRPr="00A07AD6">
              <w:rPr>
                <w:rFonts w:eastAsia="Times New Roman" w:cs="Calibri"/>
                <w:color w:val="000000"/>
              </w:rPr>
              <w:t>K2A Knaust &amp; Andersson Fastigheter</w:t>
            </w:r>
          </w:p>
        </w:tc>
        <w:tc>
          <w:tcPr>
            <w:tcW w:w="1107" w:type="dxa"/>
            <w:gridSpan w:val="8"/>
            <w:tcBorders>
              <w:top w:val="nil"/>
              <w:left w:val="nil"/>
              <w:bottom w:val="nil"/>
              <w:right w:val="nil"/>
            </w:tcBorders>
            <w:shd w:val="clear" w:color="auto" w:fill="auto"/>
            <w:noWrap/>
            <w:vAlign w:val="bottom"/>
            <w:hideMark/>
          </w:tcPr>
          <w:p w14:paraId="60EF1F2B" w14:textId="483A5333" w:rsidR="00A07AD6" w:rsidRPr="00A07AD6" w:rsidRDefault="003E6C6B" w:rsidP="00A07AD6">
            <w:pPr>
              <w:spacing w:after="0" w:line="240" w:lineRule="auto"/>
              <w:rPr>
                <w:rFonts w:eastAsia="Times New Roman" w:cs="Calibri"/>
                <w:color w:val="000000"/>
              </w:rPr>
            </w:pPr>
            <w:r>
              <w:rPr>
                <w:rFonts w:eastAsia="Times New Roman" w:cs="Calibri"/>
                <w:color w:val="000000"/>
              </w:rPr>
              <w:t>June</w:t>
            </w:r>
          </w:p>
        </w:tc>
        <w:tc>
          <w:tcPr>
            <w:tcW w:w="1685" w:type="dxa"/>
            <w:gridSpan w:val="9"/>
            <w:tcBorders>
              <w:top w:val="nil"/>
              <w:left w:val="nil"/>
              <w:bottom w:val="nil"/>
              <w:right w:val="nil"/>
            </w:tcBorders>
            <w:shd w:val="clear" w:color="auto" w:fill="auto"/>
            <w:noWrap/>
            <w:vAlign w:val="bottom"/>
            <w:hideMark/>
          </w:tcPr>
          <w:p w14:paraId="508BB1D3"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Nasdaq</w:t>
            </w:r>
          </w:p>
        </w:tc>
        <w:tc>
          <w:tcPr>
            <w:tcW w:w="1013" w:type="dxa"/>
            <w:gridSpan w:val="4"/>
            <w:tcBorders>
              <w:top w:val="nil"/>
              <w:left w:val="nil"/>
              <w:bottom w:val="nil"/>
              <w:right w:val="nil"/>
            </w:tcBorders>
            <w:shd w:val="clear" w:color="auto" w:fill="auto"/>
            <w:noWrap/>
            <w:vAlign w:val="bottom"/>
            <w:hideMark/>
          </w:tcPr>
          <w:p w14:paraId="1A31D980" w14:textId="77777777" w:rsidR="00A07AD6" w:rsidRPr="00A07AD6" w:rsidRDefault="00A07AD6" w:rsidP="00A07AD6">
            <w:pPr>
              <w:spacing w:after="0" w:line="240" w:lineRule="auto"/>
              <w:rPr>
                <w:rFonts w:eastAsia="Times New Roman" w:cs="Calibri"/>
                <w:color w:val="000000"/>
              </w:rPr>
            </w:pPr>
          </w:p>
        </w:tc>
        <w:tc>
          <w:tcPr>
            <w:tcW w:w="1974" w:type="dxa"/>
            <w:gridSpan w:val="10"/>
            <w:tcBorders>
              <w:top w:val="nil"/>
              <w:left w:val="nil"/>
              <w:bottom w:val="nil"/>
              <w:right w:val="nil"/>
            </w:tcBorders>
            <w:shd w:val="clear" w:color="auto" w:fill="auto"/>
            <w:noWrap/>
            <w:vAlign w:val="bottom"/>
            <w:hideMark/>
          </w:tcPr>
          <w:p w14:paraId="0571C1EB"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company</w:t>
            </w:r>
          </w:p>
        </w:tc>
        <w:tc>
          <w:tcPr>
            <w:tcW w:w="1482" w:type="dxa"/>
            <w:gridSpan w:val="6"/>
            <w:tcBorders>
              <w:top w:val="nil"/>
              <w:left w:val="nil"/>
              <w:bottom w:val="nil"/>
              <w:right w:val="nil"/>
            </w:tcBorders>
            <w:shd w:val="clear" w:color="auto" w:fill="auto"/>
            <w:noWrap/>
            <w:vAlign w:val="bottom"/>
            <w:hideMark/>
          </w:tcPr>
          <w:p w14:paraId="7829139C"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likely aligned</w:t>
            </w:r>
          </w:p>
        </w:tc>
        <w:tc>
          <w:tcPr>
            <w:tcW w:w="389" w:type="dxa"/>
            <w:gridSpan w:val="2"/>
            <w:tcBorders>
              <w:top w:val="nil"/>
              <w:left w:val="nil"/>
              <w:bottom w:val="nil"/>
              <w:right w:val="single" w:sz="8" w:space="0" w:color="auto"/>
            </w:tcBorders>
            <w:shd w:val="clear" w:color="auto" w:fill="auto"/>
            <w:noWrap/>
            <w:vAlign w:val="bottom"/>
            <w:hideMark/>
          </w:tcPr>
          <w:p w14:paraId="5AE22D33"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x</w:t>
            </w:r>
          </w:p>
        </w:tc>
      </w:tr>
      <w:tr w:rsidR="005B1AC3" w:rsidRPr="00A07AD6" w14:paraId="4099E53E" w14:textId="77777777" w:rsidTr="005B1AC3">
        <w:trPr>
          <w:gridAfter w:val="5"/>
          <w:wAfter w:w="837" w:type="dxa"/>
          <w:trHeight w:val="288"/>
        </w:trPr>
        <w:tc>
          <w:tcPr>
            <w:tcW w:w="460" w:type="dxa"/>
            <w:tcBorders>
              <w:top w:val="nil"/>
              <w:left w:val="single" w:sz="8" w:space="0" w:color="auto"/>
              <w:bottom w:val="nil"/>
              <w:right w:val="nil"/>
            </w:tcBorders>
            <w:shd w:val="clear" w:color="auto" w:fill="auto"/>
            <w:noWrap/>
            <w:vAlign w:val="bottom"/>
            <w:hideMark/>
          </w:tcPr>
          <w:p w14:paraId="66C6FA8B"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4</w:t>
            </w:r>
          </w:p>
        </w:tc>
        <w:tc>
          <w:tcPr>
            <w:tcW w:w="2509" w:type="dxa"/>
            <w:gridSpan w:val="3"/>
            <w:tcBorders>
              <w:top w:val="nil"/>
              <w:left w:val="nil"/>
              <w:bottom w:val="nil"/>
              <w:right w:val="nil"/>
            </w:tcBorders>
            <w:shd w:val="clear" w:color="auto" w:fill="auto"/>
            <w:noWrap/>
            <w:vAlign w:val="center"/>
            <w:hideMark/>
          </w:tcPr>
          <w:p w14:paraId="7A8684AD" w14:textId="77777777" w:rsidR="00A07AD6" w:rsidRPr="00A07AD6" w:rsidRDefault="00A07AD6" w:rsidP="00DE14A5">
            <w:pPr>
              <w:spacing w:after="0" w:line="240" w:lineRule="auto"/>
              <w:ind w:leftChars="-6" w:hangingChars="6" w:hanging="13"/>
              <w:rPr>
                <w:rFonts w:eastAsia="Times New Roman" w:cs="Calibri"/>
                <w:color w:val="000000"/>
              </w:rPr>
            </w:pPr>
            <w:r w:rsidRPr="00A07AD6">
              <w:rPr>
                <w:rFonts w:eastAsia="Times New Roman" w:cs="Calibri"/>
                <w:color w:val="000000"/>
              </w:rPr>
              <w:t>CA Fastigheter AB</w:t>
            </w:r>
          </w:p>
        </w:tc>
        <w:tc>
          <w:tcPr>
            <w:tcW w:w="334" w:type="dxa"/>
            <w:gridSpan w:val="5"/>
            <w:tcBorders>
              <w:top w:val="nil"/>
              <w:left w:val="nil"/>
              <w:bottom w:val="nil"/>
              <w:right w:val="nil"/>
            </w:tcBorders>
            <w:shd w:val="clear" w:color="auto" w:fill="auto"/>
            <w:noWrap/>
            <w:vAlign w:val="bottom"/>
            <w:hideMark/>
          </w:tcPr>
          <w:p w14:paraId="159CED6B" w14:textId="77777777" w:rsidR="00A07AD6" w:rsidRPr="00A07AD6" w:rsidRDefault="00A07AD6" w:rsidP="00A07AD6">
            <w:pPr>
              <w:spacing w:after="0" w:line="240" w:lineRule="auto"/>
              <w:ind w:firstLineChars="500" w:firstLine="1100"/>
              <w:rPr>
                <w:rFonts w:eastAsia="Times New Roman" w:cs="Calibri"/>
                <w:color w:val="000000"/>
              </w:rPr>
            </w:pPr>
          </w:p>
        </w:tc>
        <w:tc>
          <w:tcPr>
            <w:tcW w:w="297" w:type="dxa"/>
            <w:gridSpan w:val="5"/>
            <w:tcBorders>
              <w:top w:val="nil"/>
              <w:left w:val="nil"/>
              <w:bottom w:val="nil"/>
              <w:right w:val="nil"/>
            </w:tcBorders>
            <w:shd w:val="clear" w:color="auto" w:fill="auto"/>
            <w:noWrap/>
            <w:vAlign w:val="bottom"/>
            <w:hideMark/>
          </w:tcPr>
          <w:p w14:paraId="404CCC0E" w14:textId="77777777" w:rsidR="00A07AD6" w:rsidRPr="00A07AD6" w:rsidRDefault="00A07AD6" w:rsidP="00A07AD6">
            <w:pPr>
              <w:spacing w:after="0" w:line="240" w:lineRule="auto"/>
              <w:rPr>
                <w:rFonts w:ascii="Times New Roman" w:eastAsia="Times New Roman" w:hAnsi="Times New Roman"/>
                <w:sz w:val="20"/>
                <w:szCs w:val="20"/>
              </w:rPr>
            </w:pPr>
          </w:p>
        </w:tc>
        <w:tc>
          <w:tcPr>
            <w:tcW w:w="1112" w:type="dxa"/>
            <w:gridSpan w:val="8"/>
            <w:tcBorders>
              <w:top w:val="nil"/>
              <w:left w:val="nil"/>
              <w:bottom w:val="nil"/>
              <w:right w:val="nil"/>
            </w:tcBorders>
            <w:shd w:val="clear" w:color="auto" w:fill="auto"/>
            <w:noWrap/>
            <w:vAlign w:val="bottom"/>
            <w:hideMark/>
          </w:tcPr>
          <w:p w14:paraId="5D3D190A" w14:textId="7415D2DE" w:rsidR="00A07AD6" w:rsidRPr="00A07AD6" w:rsidRDefault="003E6C6B" w:rsidP="00A07AD6">
            <w:pPr>
              <w:spacing w:after="0" w:line="240" w:lineRule="auto"/>
              <w:rPr>
                <w:rFonts w:eastAsia="Times New Roman" w:cs="Calibri"/>
                <w:color w:val="000000"/>
              </w:rPr>
            </w:pPr>
            <w:r>
              <w:rPr>
                <w:rFonts w:eastAsia="Times New Roman" w:cs="Calibri"/>
                <w:color w:val="000000"/>
              </w:rPr>
              <w:t>June</w:t>
            </w:r>
          </w:p>
        </w:tc>
        <w:tc>
          <w:tcPr>
            <w:tcW w:w="1164" w:type="dxa"/>
            <w:gridSpan w:val="4"/>
            <w:tcBorders>
              <w:top w:val="nil"/>
              <w:left w:val="nil"/>
              <w:bottom w:val="nil"/>
              <w:right w:val="nil"/>
            </w:tcBorders>
            <w:shd w:val="clear" w:color="auto" w:fill="auto"/>
            <w:noWrap/>
            <w:vAlign w:val="bottom"/>
            <w:hideMark/>
          </w:tcPr>
          <w:p w14:paraId="0BF67A5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359" w:type="dxa"/>
            <w:gridSpan w:val="6"/>
            <w:tcBorders>
              <w:top w:val="nil"/>
              <w:left w:val="nil"/>
              <w:bottom w:val="nil"/>
              <w:right w:val="nil"/>
            </w:tcBorders>
            <w:shd w:val="clear" w:color="auto" w:fill="auto"/>
            <w:noWrap/>
            <w:vAlign w:val="bottom"/>
            <w:hideMark/>
          </w:tcPr>
          <w:p w14:paraId="09BF1533"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light</w:t>
            </w:r>
          </w:p>
        </w:tc>
        <w:tc>
          <w:tcPr>
            <w:tcW w:w="1771" w:type="dxa"/>
            <w:gridSpan w:val="6"/>
            <w:tcBorders>
              <w:top w:val="nil"/>
              <w:left w:val="nil"/>
              <w:bottom w:val="nil"/>
              <w:right w:val="nil"/>
            </w:tcBorders>
            <w:shd w:val="clear" w:color="auto" w:fill="auto"/>
            <w:noWrap/>
            <w:vAlign w:val="bottom"/>
            <w:hideMark/>
          </w:tcPr>
          <w:p w14:paraId="029CF99B"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bonds</w:t>
            </w:r>
          </w:p>
        </w:tc>
        <w:tc>
          <w:tcPr>
            <w:tcW w:w="1084" w:type="dxa"/>
            <w:gridSpan w:val="7"/>
            <w:tcBorders>
              <w:top w:val="nil"/>
              <w:left w:val="nil"/>
              <w:bottom w:val="nil"/>
              <w:right w:val="nil"/>
            </w:tcBorders>
            <w:shd w:val="clear" w:color="auto" w:fill="auto"/>
            <w:noWrap/>
            <w:vAlign w:val="bottom"/>
            <w:hideMark/>
          </w:tcPr>
          <w:p w14:paraId="5B206C0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248" w:type="dxa"/>
            <w:gridSpan w:val="2"/>
            <w:tcBorders>
              <w:top w:val="nil"/>
              <w:left w:val="nil"/>
              <w:bottom w:val="nil"/>
              <w:right w:val="single" w:sz="8" w:space="0" w:color="auto"/>
            </w:tcBorders>
            <w:shd w:val="clear" w:color="auto" w:fill="auto"/>
            <w:noWrap/>
            <w:vAlign w:val="bottom"/>
            <w:hideMark/>
          </w:tcPr>
          <w:p w14:paraId="05DC1ACA"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628657CC" w14:textId="77777777" w:rsidTr="005B1AC3">
        <w:trPr>
          <w:gridAfter w:val="5"/>
          <w:wAfter w:w="837" w:type="dxa"/>
          <w:trHeight w:val="288"/>
        </w:trPr>
        <w:tc>
          <w:tcPr>
            <w:tcW w:w="460" w:type="dxa"/>
            <w:tcBorders>
              <w:top w:val="nil"/>
              <w:left w:val="single" w:sz="8" w:space="0" w:color="auto"/>
              <w:bottom w:val="nil"/>
              <w:right w:val="nil"/>
            </w:tcBorders>
            <w:shd w:val="clear" w:color="auto" w:fill="auto"/>
            <w:noWrap/>
            <w:vAlign w:val="bottom"/>
            <w:hideMark/>
          </w:tcPr>
          <w:p w14:paraId="5BC432C3"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5</w:t>
            </w:r>
          </w:p>
        </w:tc>
        <w:tc>
          <w:tcPr>
            <w:tcW w:w="2509" w:type="dxa"/>
            <w:gridSpan w:val="3"/>
            <w:tcBorders>
              <w:top w:val="nil"/>
              <w:left w:val="nil"/>
              <w:bottom w:val="nil"/>
              <w:right w:val="nil"/>
            </w:tcBorders>
            <w:shd w:val="clear" w:color="auto" w:fill="auto"/>
            <w:noWrap/>
            <w:vAlign w:val="center"/>
            <w:hideMark/>
          </w:tcPr>
          <w:p w14:paraId="10DC4A9E" w14:textId="77777777" w:rsidR="00A07AD6" w:rsidRPr="00A07AD6" w:rsidRDefault="00A07AD6" w:rsidP="00DE14A5">
            <w:pPr>
              <w:spacing w:after="0" w:line="240" w:lineRule="auto"/>
              <w:ind w:leftChars="-6" w:hangingChars="6" w:hanging="13"/>
              <w:rPr>
                <w:rFonts w:eastAsia="Times New Roman" w:cs="Calibri"/>
                <w:color w:val="000000"/>
              </w:rPr>
            </w:pPr>
            <w:r w:rsidRPr="00A07AD6">
              <w:rPr>
                <w:rFonts w:eastAsia="Times New Roman" w:cs="Calibri"/>
                <w:color w:val="000000"/>
              </w:rPr>
              <w:t>K fastigheter</w:t>
            </w:r>
          </w:p>
        </w:tc>
        <w:tc>
          <w:tcPr>
            <w:tcW w:w="334" w:type="dxa"/>
            <w:gridSpan w:val="5"/>
            <w:tcBorders>
              <w:top w:val="nil"/>
              <w:left w:val="nil"/>
              <w:bottom w:val="nil"/>
              <w:right w:val="nil"/>
            </w:tcBorders>
            <w:shd w:val="clear" w:color="auto" w:fill="auto"/>
            <w:noWrap/>
            <w:vAlign w:val="bottom"/>
            <w:hideMark/>
          </w:tcPr>
          <w:p w14:paraId="6E2758D3" w14:textId="77777777" w:rsidR="00A07AD6" w:rsidRPr="00A07AD6" w:rsidRDefault="00A07AD6" w:rsidP="00A07AD6">
            <w:pPr>
              <w:spacing w:after="0" w:line="240" w:lineRule="auto"/>
              <w:ind w:firstLineChars="500" w:firstLine="1100"/>
              <w:rPr>
                <w:rFonts w:eastAsia="Times New Roman" w:cs="Calibri"/>
                <w:color w:val="000000"/>
              </w:rPr>
            </w:pPr>
          </w:p>
        </w:tc>
        <w:tc>
          <w:tcPr>
            <w:tcW w:w="297" w:type="dxa"/>
            <w:gridSpan w:val="5"/>
            <w:tcBorders>
              <w:top w:val="nil"/>
              <w:left w:val="nil"/>
              <w:bottom w:val="nil"/>
              <w:right w:val="nil"/>
            </w:tcBorders>
            <w:shd w:val="clear" w:color="auto" w:fill="auto"/>
            <w:noWrap/>
            <w:vAlign w:val="bottom"/>
            <w:hideMark/>
          </w:tcPr>
          <w:p w14:paraId="76879727" w14:textId="77777777" w:rsidR="00A07AD6" w:rsidRPr="00A07AD6" w:rsidRDefault="00A07AD6" w:rsidP="00A07AD6">
            <w:pPr>
              <w:spacing w:after="0" w:line="240" w:lineRule="auto"/>
              <w:rPr>
                <w:rFonts w:ascii="Times New Roman" w:eastAsia="Times New Roman" w:hAnsi="Times New Roman"/>
                <w:sz w:val="20"/>
                <w:szCs w:val="20"/>
              </w:rPr>
            </w:pPr>
          </w:p>
        </w:tc>
        <w:tc>
          <w:tcPr>
            <w:tcW w:w="1112" w:type="dxa"/>
            <w:gridSpan w:val="8"/>
            <w:tcBorders>
              <w:top w:val="nil"/>
              <w:left w:val="nil"/>
              <w:bottom w:val="nil"/>
              <w:right w:val="nil"/>
            </w:tcBorders>
            <w:shd w:val="clear" w:color="auto" w:fill="auto"/>
            <w:noWrap/>
            <w:vAlign w:val="bottom"/>
            <w:hideMark/>
          </w:tcPr>
          <w:p w14:paraId="4ABEA0CA" w14:textId="61C6B531" w:rsidR="00A07AD6" w:rsidRPr="00A07AD6" w:rsidRDefault="003E6C6B" w:rsidP="00A07AD6">
            <w:pPr>
              <w:spacing w:after="0" w:line="240" w:lineRule="auto"/>
              <w:rPr>
                <w:rFonts w:eastAsia="Times New Roman" w:cs="Calibri"/>
                <w:color w:val="000000"/>
              </w:rPr>
            </w:pPr>
            <w:r w:rsidRPr="00A07AD6">
              <w:rPr>
                <w:rFonts w:eastAsia="Times New Roman" w:cs="Calibri"/>
                <w:color w:val="000000"/>
              </w:rPr>
              <w:t>N</w:t>
            </w:r>
            <w:r w:rsidR="00A07AD6" w:rsidRPr="00A07AD6">
              <w:rPr>
                <w:rFonts w:eastAsia="Times New Roman" w:cs="Calibri"/>
                <w:color w:val="000000"/>
              </w:rPr>
              <w:t>ov</w:t>
            </w:r>
          </w:p>
        </w:tc>
        <w:tc>
          <w:tcPr>
            <w:tcW w:w="1164" w:type="dxa"/>
            <w:gridSpan w:val="4"/>
            <w:tcBorders>
              <w:top w:val="nil"/>
              <w:left w:val="nil"/>
              <w:bottom w:val="nil"/>
              <w:right w:val="nil"/>
            </w:tcBorders>
            <w:shd w:val="clear" w:color="auto" w:fill="auto"/>
            <w:noWrap/>
            <w:vAlign w:val="bottom"/>
            <w:hideMark/>
          </w:tcPr>
          <w:p w14:paraId="0E2B355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359" w:type="dxa"/>
            <w:gridSpan w:val="6"/>
            <w:tcBorders>
              <w:top w:val="nil"/>
              <w:left w:val="nil"/>
              <w:bottom w:val="nil"/>
              <w:right w:val="nil"/>
            </w:tcBorders>
            <w:shd w:val="clear" w:color="auto" w:fill="auto"/>
            <w:noWrap/>
            <w:vAlign w:val="bottom"/>
            <w:hideMark/>
          </w:tcPr>
          <w:p w14:paraId="2AA9D074" w14:textId="77777777" w:rsidR="00A07AD6" w:rsidRPr="00A07AD6" w:rsidRDefault="00A07AD6" w:rsidP="00A07AD6">
            <w:pPr>
              <w:spacing w:after="0" w:line="240" w:lineRule="auto"/>
              <w:rPr>
                <w:rFonts w:eastAsia="Times New Roman" w:cs="Calibri"/>
                <w:color w:val="000000"/>
              </w:rPr>
            </w:pPr>
          </w:p>
        </w:tc>
        <w:tc>
          <w:tcPr>
            <w:tcW w:w="1771" w:type="dxa"/>
            <w:gridSpan w:val="6"/>
            <w:tcBorders>
              <w:top w:val="nil"/>
              <w:left w:val="nil"/>
              <w:bottom w:val="nil"/>
              <w:right w:val="nil"/>
            </w:tcBorders>
            <w:shd w:val="clear" w:color="auto" w:fill="auto"/>
            <w:noWrap/>
            <w:vAlign w:val="bottom"/>
            <w:hideMark/>
          </w:tcPr>
          <w:p w14:paraId="4FAEAC0F"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bonds</w:t>
            </w:r>
          </w:p>
        </w:tc>
        <w:tc>
          <w:tcPr>
            <w:tcW w:w="1084" w:type="dxa"/>
            <w:gridSpan w:val="7"/>
            <w:tcBorders>
              <w:top w:val="nil"/>
              <w:left w:val="nil"/>
              <w:bottom w:val="nil"/>
              <w:right w:val="nil"/>
            </w:tcBorders>
            <w:shd w:val="clear" w:color="auto" w:fill="auto"/>
            <w:noWrap/>
            <w:vAlign w:val="bottom"/>
            <w:hideMark/>
          </w:tcPr>
          <w:p w14:paraId="7B0BA4F2"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248" w:type="dxa"/>
            <w:gridSpan w:val="2"/>
            <w:tcBorders>
              <w:top w:val="nil"/>
              <w:left w:val="nil"/>
              <w:bottom w:val="nil"/>
              <w:right w:val="single" w:sz="8" w:space="0" w:color="auto"/>
            </w:tcBorders>
            <w:shd w:val="clear" w:color="auto" w:fill="auto"/>
            <w:noWrap/>
            <w:vAlign w:val="bottom"/>
            <w:hideMark/>
          </w:tcPr>
          <w:p w14:paraId="08C3CE8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7E593345" w14:textId="77777777" w:rsidTr="005B1AC3">
        <w:trPr>
          <w:trHeight w:val="288"/>
        </w:trPr>
        <w:tc>
          <w:tcPr>
            <w:tcW w:w="460" w:type="dxa"/>
            <w:tcBorders>
              <w:top w:val="nil"/>
              <w:left w:val="single" w:sz="8" w:space="0" w:color="auto"/>
              <w:bottom w:val="nil"/>
              <w:right w:val="nil"/>
            </w:tcBorders>
            <w:shd w:val="clear" w:color="auto" w:fill="auto"/>
            <w:noWrap/>
            <w:vAlign w:val="bottom"/>
            <w:hideMark/>
          </w:tcPr>
          <w:p w14:paraId="7F57504A"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6</w:t>
            </w:r>
          </w:p>
        </w:tc>
        <w:tc>
          <w:tcPr>
            <w:tcW w:w="2740" w:type="dxa"/>
            <w:gridSpan w:val="5"/>
            <w:tcBorders>
              <w:top w:val="nil"/>
              <w:left w:val="nil"/>
              <w:bottom w:val="nil"/>
              <w:right w:val="nil"/>
            </w:tcBorders>
            <w:shd w:val="clear" w:color="auto" w:fill="auto"/>
            <w:noWrap/>
            <w:vAlign w:val="center"/>
            <w:hideMark/>
          </w:tcPr>
          <w:p w14:paraId="53B0341F" w14:textId="77777777" w:rsidR="00A07AD6" w:rsidRPr="00A07AD6" w:rsidRDefault="00A07AD6" w:rsidP="00DE14A5">
            <w:pPr>
              <w:spacing w:after="0" w:line="240" w:lineRule="auto"/>
              <w:rPr>
                <w:rFonts w:eastAsia="Times New Roman" w:cs="Calibri"/>
                <w:color w:val="000000"/>
              </w:rPr>
            </w:pPr>
            <w:r w:rsidRPr="00A07AD6">
              <w:rPr>
                <w:rFonts w:eastAsia="Times New Roman" w:cs="Calibri"/>
                <w:color w:val="000000"/>
              </w:rPr>
              <w:t>Bonniers Fastigheter</w:t>
            </w:r>
          </w:p>
        </w:tc>
        <w:tc>
          <w:tcPr>
            <w:tcW w:w="325" w:type="dxa"/>
            <w:gridSpan w:val="7"/>
            <w:tcBorders>
              <w:top w:val="nil"/>
              <w:left w:val="nil"/>
              <w:bottom w:val="nil"/>
              <w:right w:val="nil"/>
            </w:tcBorders>
            <w:shd w:val="clear" w:color="auto" w:fill="auto"/>
            <w:noWrap/>
            <w:vAlign w:val="bottom"/>
            <w:hideMark/>
          </w:tcPr>
          <w:p w14:paraId="29CC723D" w14:textId="77777777" w:rsidR="00A07AD6" w:rsidRPr="00A07AD6" w:rsidRDefault="00A07AD6" w:rsidP="00A07AD6">
            <w:pPr>
              <w:spacing w:after="0" w:line="240" w:lineRule="auto"/>
              <w:ind w:firstLineChars="500" w:firstLine="1100"/>
              <w:rPr>
                <w:rFonts w:eastAsia="Times New Roman" w:cs="Calibri"/>
                <w:color w:val="000000"/>
              </w:rPr>
            </w:pPr>
          </w:p>
        </w:tc>
        <w:tc>
          <w:tcPr>
            <w:tcW w:w="1107" w:type="dxa"/>
            <w:gridSpan w:val="8"/>
            <w:tcBorders>
              <w:top w:val="nil"/>
              <w:left w:val="nil"/>
              <w:bottom w:val="nil"/>
              <w:right w:val="nil"/>
            </w:tcBorders>
            <w:shd w:val="clear" w:color="auto" w:fill="auto"/>
            <w:noWrap/>
            <w:vAlign w:val="bottom"/>
            <w:hideMark/>
          </w:tcPr>
          <w:p w14:paraId="234753FF" w14:textId="5A75CD04" w:rsidR="00A07AD6" w:rsidRPr="00A07AD6" w:rsidRDefault="003E6C6B" w:rsidP="00A07AD6">
            <w:pPr>
              <w:spacing w:after="0" w:line="240" w:lineRule="auto"/>
              <w:rPr>
                <w:rFonts w:eastAsia="Times New Roman" w:cs="Calibri"/>
                <w:color w:val="000000"/>
              </w:rPr>
            </w:pPr>
            <w:r>
              <w:rPr>
                <w:rFonts w:eastAsia="Times New Roman" w:cs="Calibri"/>
                <w:color w:val="000000"/>
              </w:rPr>
              <w:t>April</w:t>
            </w:r>
          </w:p>
        </w:tc>
        <w:tc>
          <w:tcPr>
            <w:tcW w:w="1685" w:type="dxa"/>
            <w:gridSpan w:val="9"/>
            <w:tcBorders>
              <w:top w:val="nil"/>
              <w:left w:val="nil"/>
              <w:bottom w:val="nil"/>
              <w:right w:val="nil"/>
            </w:tcBorders>
            <w:shd w:val="clear" w:color="auto" w:fill="auto"/>
            <w:noWrap/>
            <w:vAlign w:val="bottom"/>
            <w:hideMark/>
          </w:tcPr>
          <w:p w14:paraId="026E1C35" w14:textId="77D132F8" w:rsidR="00A07AD6" w:rsidRPr="00A07AD6" w:rsidRDefault="00C809B9" w:rsidP="00A07AD6">
            <w:pPr>
              <w:spacing w:after="0" w:line="240" w:lineRule="auto"/>
              <w:rPr>
                <w:rFonts w:eastAsia="Times New Roman" w:cs="Calibri"/>
                <w:color w:val="000000"/>
              </w:rPr>
            </w:pPr>
            <w:r w:rsidRPr="00A07AD6">
              <w:rPr>
                <w:rFonts w:eastAsia="Times New Roman" w:cs="Calibri"/>
                <w:color w:val="000000"/>
              </w:rPr>
              <w:t>G</w:t>
            </w:r>
            <w:r w:rsidR="00A07AD6" w:rsidRPr="00A07AD6">
              <w:rPr>
                <w:rFonts w:eastAsia="Times New Roman" w:cs="Calibri"/>
                <w:color w:val="000000"/>
              </w:rPr>
              <w:t>ood</w:t>
            </w:r>
          </w:p>
        </w:tc>
        <w:tc>
          <w:tcPr>
            <w:tcW w:w="1013" w:type="dxa"/>
            <w:gridSpan w:val="4"/>
            <w:tcBorders>
              <w:top w:val="nil"/>
              <w:left w:val="nil"/>
              <w:bottom w:val="nil"/>
              <w:right w:val="nil"/>
            </w:tcBorders>
            <w:shd w:val="clear" w:color="auto" w:fill="auto"/>
            <w:noWrap/>
            <w:vAlign w:val="bottom"/>
            <w:hideMark/>
          </w:tcPr>
          <w:p w14:paraId="553CC41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974" w:type="dxa"/>
            <w:gridSpan w:val="10"/>
            <w:tcBorders>
              <w:top w:val="nil"/>
              <w:left w:val="nil"/>
              <w:bottom w:val="nil"/>
              <w:right w:val="nil"/>
            </w:tcBorders>
            <w:shd w:val="clear" w:color="auto" w:fill="auto"/>
            <w:noWrap/>
            <w:vAlign w:val="bottom"/>
            <w:hideMark/>
          </w:tcPr>
          <w:p w14:paraId="173A9D7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482" w:type="dxa"/>
            <w:gridSpan w:val="6"/>
            <w:tcBorders>
              <w:top w:val="nil"/>
              <w:left w:val="nil"/>
              <w:bottom w:val="nil"/>
              <w:right w:val="nil"/>
            </w:tcBorders>
            <w:shd w:val="clear" w:color="auto" w:fill="auto"/>
            <w:noWrap/>
            <w:vAlign w:val="bottom"/>
            <w:hideMark/>
          </w:tcPr>
          <w:p w14:paraId="3EB7AE2E"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buildings aligned</w:t>
            </w:r>
          </w:p>
        </w:tc>
        <w:tc>
          <w:tcPr>
            <w:tcW w:w="389" w:type="dxa"/>
            <w:gridSpan w:val="2"/>
            <w:tcBorders>
              <w:top w:val="nil"/>
              <w:left w:val="nil"/>
              <w:bottom w:val="nil"/>
              <w:right w:val="single" w:sz="8" w:space="0" w:color="auto"/>
            </w:tcBorders>
            <w:shd w:val="clear" w:color="auto" w:fill="auto"/>
            <w:noWrap/>
            <w:vAlign w:val="bottom"/>
            <w:hideMark/>
          </w:tcPr>
          <w:p w14:paraId="27A1ED4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1D76A005" w14:textId="77777777" w:rsidTr="005B1AC3">
        <w:trPr>
          <w:trHeight w:val="288"/>
        </w:trPr>
        <w:tc>
          <w:tcPr>
            <w:tcW w:w="460" w:type="dxa"/>
            <w:tcBorders>
              <w:top w:val="nil"/>
              <w:left w:val="single" w:sz="8" w:space="0" w:color="auto"/>
              <w:bottom w:val="nil"/>
              <w:right w:val="nil"/>
            </w:tcBorders>
            <w:shd w:val="clear" w:color="auto" w:fill="auto"/>
            <w:noWrap/>
            <w:vAlign w:val="bottom"/>
            <w:hideMark/>
          </w:tcPr>
          <w:p w14:paraId="730E892F"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7</w:t>
            </w:r>
          </w:p>
        </w:tc>
        <w:tc>
          <w:tcPr>
            <w:tcW w:w="2740" w:type="dxa"/>
            <w:gridSpan w:val="5"/>
            <w:tcBorders>
              <w:top w:val="nil"/>
              <w:left w:val="nil"/>
              <w:bottom w:val="nil"/>
              <w:right w:val="nil"/>
            </w:tcBorders>
            <w:shd w:val="clear" w:color="auto" w:fill="auto"/>
            <w:noWrap/>
            <w:vAlign w:val="center"/>
            <w:hideMark/>
          </w:tcPr>
          <w:p w14:paraId="0FB1C6B0" w14:textId="77777777" w:rsidR="00A07AD6" w:rsidRPr="00A07AD6" w:rsidRDefault="00A07AD6" w:rsidP="00DE14A5">
            <w:pPr>
              <w:spacing w:after="0" w:line="240" w:lineRule="auto"/>
              <w:ind w:leftChars="-6" w:right="425" w:hangingChars="6" w:hanging="13"/>
              <w:rPr>
                <w:rFonts w:eastAsia="Times New Roman" w:cs="Calibri"/>
                <w:color w:val="000000"/>
              </w:rPr>
            </w:pPr>
            <w:r w:rsidRPr="00A07AD6">
              <w:rPr>
                <w:rFonts w:eastAsia="Times New Roman" w:cs="Calibri"/>
                <w:color w:val="000000"/>
              </w:rPr>
              <w:t>Fabege Fastigheter AB</w:t>
            </w:r>
          </w:p>
        </w:tc>
        <w:tc>
          <w:tcPr>
            <w:tcW w:w="325" w:type="dxa"/>
            <w:gridSpan w:val="7"/>
            <w:tcBorders>
              <w:top w:val="nil"/>
              <w:left w:val="nil"/>
              <w:bottom w:val="nil"/>
              <w:right w:val="nil"/>
            </w:tcBorders>
            <w:shd w:val="clear" w:color="auto" w:fill="auto"/>
            <w:noWrap/>
            <w:vAlign w:val="bottom"/>
            <w:hideMark/>
          </w:tcPr>
          <w:p w14:paraId="32201618" w14:textId="77777777" w:rsidR="00A07AD6" w:rsidRPr="00A07AD6" w:rsidRDefault="00A07AD6" w:rsidP="00A07AD6">
            <w:pPr>
              <w:spacing w:after="0" w:line="240" w:lineRule="auto"/>
              <w:ind w:firstLineChars="500" w:firstLine="1100"/>
              <w:rPr>
                <w:rFonts w:eastAsia="Times New Roman" w:cs="Calibri"/>
                <w:color w:val="000000"/>
              </w:rPr>
            </w:pPr>
          </w:p>
        </w:tc>
        <w:tc>
          <w:tcPr>
            <w:tcW w:w="1107" w:type="dxa"/>
            <w:gridSpan w:val="8"/>
            <w:tcBorders>
              <w:top w:val="nil"/>
              <w:left w:val="nil"/>
              <w:bottom w:val="nil"/>
              <w:right w:val="nil"/>
            </w:tcBorders>
            <w:shd w:val="clear" w:color="auto" w:fill="auto"/>
            <w:noWrap/>
            <w:vAlign w:val="bottom"/>
            <w:hideMark/>
          </w:tcPr>
          <w:p w14:paraId="13FC6D7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january</w:t>
            </w:r>
          </w:p>
        </w:tc>
        <w:tc>
          <w:tcPr>
            <w:tcW w:w="1685" w:type="dxa"/>
            <w:gridSpan w:val="9"/>
            <w:tcBorders>
              <w:top w:val="nil"/>
              <w:left w:val="nil"/>
              <w:bottom w:val="nil"/>
              <w:right w:val="nil"/>
            </w:tcBorders>
            <w:shd w:val="clear" w:color="auto" w:fill="auto"/>
            <w:noWrap/>
            <w:vAlign w:val="bottom"/>
            <w:hideMark/>
          </w:tcPr>
          <w:p w14:paraId="560114EC" w14:textId="3CA11F6D" w:rsidR="00A07AD6" w:rsidRPr="00A07AD6" w:rsidRDefault="00C809B9" w:rsidP="00A07AD6">
            <w:pPr>
              <w:spacing w:after="0" w:line="240" w:lineRule="auto"/>
              <w:rPr>
                <w:rFonts w:eastAsia="Times New Roman" w:cs="Calibri"/>
                <w:color w:val="000000"/>
              </w:rPr>
            </w:pPr>
            <w:r w:rsidRPr="00A07AD6">
              <w:rPr>
                <w:rFonts w:eastAsia="Times New Roman" w:cs="Calibri"/>
                <w:color w:val="000000"/>
              </w:rPr>
              <w:t>E</w:t>
            </w:r>
            <w:r w:rsidR="00A07AD6" w:rsidRPr="00A07AD6">
              <w:rPr>
                <w:rFonts w:eastAsia="Times New Roman" w:cs="Calibri"/>
                <w:color w:val="000000"/>
              </w:rPr>
              <w:t>xcellent</w:t>
            </w:r>
          </w:p>
        </w:tc>
        <w:tc>
          <w:tcPr>
            <w:tcW w:w="1013" w:type="dxa"/>
            <w:gridSpan w:val="4"/>
            <w:tcBorders>
              <w:top w:val="nil"/>
              <w:left w:val="nil"/>
              <w:bottom w:val="nil"/>
              <w:right w:val="nil"/>
            </w:tcBorders>
            <w:shd w:val="clear" w:color="auto" w:fill="auto"/>
            <w:noWrap/>
            <w:vAlign w:val="bottom"/>
            <w:hideMark/>
          </w:tcPr>
          <w:p w14:paraId="028C8AA3" w14:textId="77777777" w:rsidR="00A07AD6" w:rsidRPr="00A07AD6" w:rsidRDefault="00A07AD6" w:rsidP="00A07AD6">
            <w:pPr>
              <w:spacing w:after="0" w:line="240" w:lineRule="auto"/>
              <w:rPr>
                <w:rFonts w:eastAsia="Times New Roman" w:cs="Calibri"/>
                <w:color w:val="000000"/>
              </w:rPr>
            </w:pPr>
          </w:p>
        </w:tc>
        <w:tc>
          <w:tcPr>
            <w:tcW w:w="1974" w:type="dxa"/>
            <w:gridSpan w:val="10"/>
            <w:tcBorders>
              <w:top w:val="nil"/>
              <w:left w:val="nil"/>
              <w:bottom w:val="nil"/>
              <w:right w:val="nil"/>
            </w:tcBorders>
            <w:shd w:val="clear" w:color="auto" w:fill="auto"/>
            <w:noWrap/>
            <w:vAlign w:val="bottom"/>
            <w:hideMark/>
          </w:tcPr>
          <w:p w14:paraId="64AF4E14"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company</w:t>
            </w:r>
          </w:p>
        </w:tc>
        <w:tc>
          <w:tcPr>
            <w:tcW w:w="1482" w:type="dxa"/>
            <w:gridSpan w:val="6"/>
            <w:tcBorders>
              <w:top w:val="nil"/>
              <w:left w:val="nil"/>
              <w:bottom w:val="nil"/>
              <w:right w:val="nil"/>
            </w:tcBorders>
            <w:shd w:val="clear" w:color="auto" w:fill="auto"/>
            <w:noWrap/>
            <w:vAlign w:val="bottom"/>
            <w:hideMark/>
          </w:tcPr>
          <w:p w14:paraId="34533E52"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preliminary ass</w:t>
            </w:r>
          </w:p>
        </w:tc>
        <w:tc>
          <w:tcPr>
            <w:tcW w:w="389" w:type="dxa"/>
            <w:gridSpan w:val="2"/>
            <w:tcBorders>
              <w:top w:val="nil"/>
              <w:left w:val="nil"/>
              <w:bottom w:val="nil"/>
              <w:right w:val="single" w:sz="8" w:space="0" w:color="auto"/>
            </w:tcBorders>
            <w:shd w:val="clear" w:color="auto" w:fill="auto"/>
            <w:noWrap/>
            <w:vAlign w:val="bottom"/>
            <w:hideMark/>
          </w:tcPr>
          <w:p w14:paraId="788A8D3A"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x</w:t>
            </w:r>
          </w:p>
        </w:tc>
      </w:tr>
      <w:tr w:rsidR="005B1AC3" w:rsidRPr="00A07AD6" w14:paraId="24AED66D" w14:textId="77777777" w:rsidTr="005B1AC3">
        <w:trPr>
          <w:gridAfter w:val="4"/>
          <w:wAfter w:w="722" w:type="dxa"/>
          <w:trHeight w:val="288"/>
        </w:trPr>
        <w:tc>
          <w:tcPr>
            <w:tcW w:w="460" w:type="dxa"/>
            <w:tcBorders>
              <w:top w:val="nil"/>
              <w:left w:val="single" w:sz="8" w:space="0" w:color="auto"/>
              <w:bottom w:val="nil"/>
              <w:right w:val="nil"/>
            </w:tcBorders>
            <w:shd w:val="clear" w:color="auto" w:fill="auto"/>
            <w:noWrap/>
            <w:vAlign w:val="bottom"/>
            <w:hideMark/>
          </w:tcPr>
          <w:p w14:paraId="4BCFD4CC"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8</w:t>
            </w:r>
          </w:p>
        </w:tc>
        <w:tc>
          <w:tcPr>
            <w:tcW w:w="2339" w:type="dxa"/>
            <w:tcBorders>
              <w:top w:val="nil"/>
              <w:left w:val="nil"/>
              <w:bottom w:val="nil"/>
              <w:right w:val="nil"/>
            </w:tcBorders>
            <w:shd w:val="clear" w:color="auto" w:fill="auto"/>
            <w:noWrap/>
            <w:vAlign w:val="center"/>
            <w:hideMark/>
          </w:tcPr>
          <w:p w14:paraId="7F2376D7" w14:textId="77777777" w:rsidR="00A07AD6" w:rsidRPr="00A07AD6" w:rsidRDefault="00A07AD6" w:rsidP="00DE14A5">
            <w:pPr>
              <w:spacing w:after="0" w:line="240" w:lineRule="auto"/>
              <w:ind w:leftChars="-6" w:hangingChars="6" w:hanging="13"/>
              <w:rPr>
                <w:rFonts w:eastAsia="Times New Roman" w:cs="Calibri"/>
                <w:color w:val="000000"/>
              </w:rPr>
            </w:pPr>
            <w:r w:rsidRPr="00A07AD6">
              <w:rPr>
                <w:rFonts w:eastAsia="Times New Roman" w:cs="Calibri"/>
                <w:color w:val="000000"/>
              </w:rPr>
              <w:t xml:space="preserve">Nyfosa </w:t>
            </w:r>
          </w:p>
        </w:tc>
        <w:tc>
          <w:tcPr>
            <w:tcW w:w="246" w:type="dxa"/>
            <w:gridSpan w:val="3"/>
            <w:tcBorders>
              <w:top w:val="nil"/>
              <w:left w:val="nil"/>
              <w:bottom w:val="nil"/>
              <w:right w:val="nil"/>
            </w:tcBorders>
            <w:shd w:val="clear" w:color="auto" w:fill="auto"/>
            <w:noWrap/>
            <w:vAlign w:val="bottom"/>
            <w:hideMark/>
          </w:tcPr>
          <w:p w14:paraId="0E93030E" w14:textId="77777777" w:rsidR="00A07AD6" w:rsidRPr="00A07AD6" w:rsidRDefault="00A07AD6" w:rsidP="00A07AD6">
            <w:pPr>
              <w:spacing w:after="0" w:line="240" w:lineRule="auto"/>
              <w:ind w:firstLineChars="500" w:firstLine="1100"/>
              <w:rPr>
                <w:rFonts w:eastAsia="Times New Roman" w:cs="Calibri"/>
                <w:color w:val="000000"/>
              </w:rPr>
            </w:pPr>
          </w:p>
        </w:tc>
        <w:tc>
          <w:tcPr>
            <w:tcW w:w="317" w:type="dxa"/>
            <w:gridSpan w:val="5"/>
            <w:tcBorders>
              <w:top w:val="nil"/>
              <w:left w:val="nil"/>
              <w:bottom w:val="nil"/>
              <w:right w:val="nil"/>
            </w:tcBorders>
            <w:shd w:val="clear" w:color="auto" w:fill="auto"/>
            <w:noWrap/>
            <w:vAlign w:val="bottom"/>
            <w:hideMark/>
          </w:tcPr>
          <w:p w14:paraId="38E8E7C2" w14:textId="77777777" w:rsidR="00A07AD6" w:rsidRPr="00A07AD6" w:rsidRDefault="00A07AD6" w:rsidP="00A07AD6">
            <w:pPr>
              <w:spacing w:after="0" w:line="240" w:lineRule="auto"/>
              <w:rPr>
                <w:rFonts w:ascii="Times New Roman" w:eastAsia="Times New Roman" w:hAnsi="Times New Roman"/>
                <w:sz w:val="20"/>
                <w:szCs w:val="20"/>
              </w:rPr>
            </w:pPr>
          </w:p>
        </w:tc>
        <w:tc>
          <w:tcPr>
            <w:tcW w:w="315" w:type="dxa"/>
            <w:gridSpan w:val="5"/>
            <w:tcBorders>
              <w:top w:val="nil"/>
              <w:left w:val="nil"/>
              <w:bottom w:val="nil"/>
              <w:right w:val="nil"/>
            </w:tcBorders>
            <w:shd w:val="clear" w:color="auto" w:fill="auto"/>
            <w:noWrap/>
            <w:vAlign w:val="bottom"/>
            <w:hideMark/>
          </w:tcPr>
          <w:p w14:paraId="5A0FD5BE" w14:textId="77777777" w:rsidR="00A07AD6" w:rsidRPr="00A07AD6" w:rsidRDefault="00A07AD6" w:rsidP="00A07AD6">
            <w:pPr>
              <w:spacing w:after="0" w:line="240" w:lineRule="auto"/>
              <w:rPr>
                <w:rFonts w:ascii="Times New Roman" w:eastAsia="Times New Roman" w:hAnsi="Times New Roman"/>
                <w:sz w:val="20"/>
                <w:szCs w:val="20"/>
              </w:rPr>
            </w:pPr>
          </w:p>
        </w:tc>
        <w:tc>
          <w:tcPr>
            <w:tcW w:w="1100" w:type="dxa"/>
            <w:gridSpan w:val="8"/>
            <w:tcBorders>
              <w:top w:val="nil"/>
              <w:left w:val="nil"/>
              <w:bottom w:val="nil"/>
              <w:right w:val="nil"/>
            </w:tcBorders>
            <w:shd w:val="clear" w:color="auto" w:fill="auto"/>
            <w:noWrap/>
            <w:vAlign w:val="bottom"/>
            <w:hideMark/>
          </w:tcPr>
          <w:p w14:paraId="2C87B2D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april</w:t>
            </w:r>
          </w:p>
        </w:tc>
        <w:tc>
          <w:tcPr>
            <w:tcW w:w="1158" w:type="dxa"/>
            <w:gridSpan w:val="4"/>
            <w:tcBorders>
              <w:top w:val="nil"/>
              <w:left w:val="nil"/>
              <w:bottom w:val="nil"/>
              <w:right w:val="nil"/>
            </w:tcBorders>
            <w:shd w:val="clear" w:color="auto" w:fill="auto"/>
            <w:noWrap/>
            <w:vAlign w:val="bottom"/>
            <w:hideMark/>
          </w:tcPr>
          <w:p w14:paraId="6CE3B8C4"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359" w:type="dxa"/>
            <w:gridSpan w:val="6"/>
            <w:tcBorders>
              <w:top w:val="nil"/>
              <w:left w:val="nil"/>
              <w:bottom w:val="nil"/>
              <w:right w:val="nil"/>
            </w:tcBorders>
            <w:shd w:val="clear" w:color="auto" w:fill="auto"/>
            <w:noWrap/>
            <w:vAlign w:val="bottom"/>
            <w:hideMark/>
          </w:tcPr>
          <w:p w14:paraId="773423EC" w14:textId="2B72760B" w:rsidR="00A07AD6" w:rsidRPr="00A07AD6" w:rsidRDefault="00C809B9" w:rsidP="00A07AD6">
            <w:pPr>
              <w:spacing w:after="0" w:line="240" w:lineRule="auto"/>
              <w:rPr>
                <w:rFonts w:eastAsia="Times New Roman" w:cs="Calibri"/>
                <w:color w:val="000000"/>
              </w:rPr>
            </w:pPr>
            <w:r>
              <w:rPr>
                <w:rFonts w:eastAsia="Times New Roman" w:cs="Calibri"/>
                <w:color w:val="000000"/>
              </w:rPr>
              <w:t xml:space="preserve">     </w:t>
            </w:r>
            <w:r w:rsidR="00A07AD6" w:rsidRPr="00A07AD6">
              <w:rPr>
                <w:rFonts w:eastAsia="Times New Roman" w:cs="Calibri"/>
                <w:color w:val="000000"/>
              </w:rPr>
              <w:t>medium</w:t>
            </w:r>
          </w:p>
        </w:tc>
        <w:tc>
          <w:tcPr>
            <w:tcW w:w="1779" w:type="dxa"/>
            <w:gridSpan w:val="7"/>
            <w:tcBorders>
              <w:top w:val="nil"/>
              <w:left w:val="nil"/>
              <w:bottom w:val="nil"/>
              <w:right w:val="nil"/>
            </w:tcBorders>
            <w:shd w:val="clear" w:color="auto" w:fill="auto"/>
            <w:noWrap/>
            <w:vAlign w:val="bottom"/>
            <w:hideMark/>
          </w:tcPr>
          <w:p w14:paraId="26530428"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144" w:type="dxa"/>
            <w:gridSpan w:val="6"/>
            <w:tcBorders>
              <w:top w:val="nil"/>
              <w:left w:val="nil"/>
              <w:bottom w:val="nil"/>
              <w:right w:val="nil"/>
            </w:tcBorders>
            <w:shd w:val="clear" w:color="auto" w:fill="auto"/>
            <w:noWrap/>
            <w:vAlign w:val="bottom"/>
            <w:hideMark/>
          </w:tcPr>
          <w:p w14:paraId="59D329E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236" w:type="dxa"/>
            <w:gridSpan w:val="2"/>
            <w:tcBorders>
              <w:top w:val="nil"/>
              <w:left w:val="nil"/>
              <w:bottom w:val="nil"/>
              <w:right w:val="single" w:sz="8" w:space="0" w:color="auto"/>
            </w:tcBorders>
            <w:shd w:val="clear" w:color="auto" w:fill="auto"/>
            <w:noWrap/>
            <w:vAlign w:val="bottom"/>
            <w:hideMark/>
          </w:tcPr>
          <w:p w14:paraId="14FB65A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134F18FA" w14:textId="77777777" w:rsidTr="005B1AC3">
        <w:trPr>
          <w:gridAfter w:val="1"/>
          <w:wAfter w:w="143" w:type="dxa"/>
          <w:trHeight w:val="288"/>
        </w:trPr>
        <w:tc>
          <w:tcPr>
            <w:tcW w:w="460" w:type="dxa"/>
            <w:tcBorders>
              <w:top w:val="nil"/>
              <w:left w:val="single" w:sz="8" w:space="0" w:color="auto"/>
              <w:bottom w:val="nil"/>
              <w:right w:val="nil"/>
            </w:tcBorders>
            <w:shd w:val="clear" w:color="auto" w:fill="auto"/>
            <w:noWrap/>
            <w:vAlign w:val="bottom"/>
            <w:hideMark/>
          </w:tcPr>
          <w:p w14:paraId="2424D42F"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9</w:t>
            </w:r>
          </w:p>
        </w:tc>
        <w:tc>
          <w:tcPr>
            <w:tcW w:w="2339" w:type="dxa"/>
            <w:tcBorders>
              <w:top w:val="nil"/>
              <w:left w:val="nil"/>
              <w:bottom w:val="nil"/>
              <w:right w:val="nil"/>
            </w:tcBorders>
            <w:shd w:val="clear" w:color="auto" w:fill="auto"/>
            <w:noWrap/>
            <w:vAlign w:val="center"/>
            <w:hideMark/>
          </w:tcPr>
          <w:p w14:paraId="33ECE385" w14:textId="77777777" w:rsidR="00A07AD6" w:rsidRPr="00A07AD6" w:rsidRDefault="00A07AD6" w:rsidP="00DE14A5">
            <w:pPr>
              <w:tabs>
                <w:tab w:val="left" w:pos="1065"/>
              </w:tabs>
              <w:spacing w:after="0" w:line="240" w:lineRule="auto"/>
              <w:ind w:leftChars="-7" w:left="-2" w:hangingChars="6" w:hanging="13"/>
              <w:rPr>
                <w:rFonts w:eastAsia="Times New Roman" w:cs="Calibri"/>
                <w:color w:val="000000"/>
              </w:rPr>
            </w:pPr>
            <w:r w:rsidRPr="00A07AD6">
              <w:rPr>
                <w:rFonts w:eastAsia="Times New Roman" w:cs="Calibri"/>
                <w:color w:val="000000"/>
              </w:rPr>
              <w:t xml:space="preserve">Hufvudstaden </w:t>
            </w:r>
          </w:p>
        </w:tc>
        <w:tc>
          <w:tcPr>
            <w:tcW w:w="408" w:type="dxa"/>
            <w:gridSpan w:val="5"/>
            <w:tcBorders>
              <w:top w:val="nil"/>
              <w:left w:val="nil"/>
              <w:bottom w:val="nil"/>
              <w:right w:val="nil"/>
            </w:tcBorders>
            <w:shd w:val="clear" w:color="auto" w:fill="auto"/>
            <w:noWrap/>
            <w:vAlign w:val="bottom"/>
            <w:hideMark/>
          </w:tcPr>
          <w:p w14:paraId="21E133FE" w14:textId="77777777" w:rsidR="00A07AD6" w:rsidRPr="00A07AD6" w:rsidRDefault="00A07AD6" w:rsidP="00A07AD6">
            <w:pPr>
              <w:spacing w:after="0" w:line="240" w:lineRule="auto"/>
              <w:ind w:firstLineChars="500" w:firstLine="1100"/>
              <w:rPr>
                <w:rFonts w:eastAsia="Times New Roman" w:cs="Calibri"/>
                <w:color w:val="000000"/>
              </w:rPr>
            </w:pPr>
          </w:p>
        </w:tc>
        <w:tc>
          <w:tcPr>
            <w:tcW w:w="271" w:type="dxa"/>
            <w:gridSpan w:val="5"/>
            <w:tcBorders>
              <w:top w:val="nil"/>
              <w:left w:val="nil"/>
              <w:bottom w:val="nil"/>
              <w:right w:val="nil"/>
            </w:tcBorders>
            <w:shd w:val="clear" w:color="auto" w:fill="auto"/>
            <w:noWrap/>
            <w:vAlign w:val="bottom"/>
            <w:hideMark/>
          </w:tcPr>
          <w:p w14:paraId="57946679" w14:textId="77777777" w:rsidR="00A07AD6" w:rsidRPr="00A07AD6" w:rsidRDefault="00A07AD6" w:rsidP="00A07AD6">
            <w:pPr>
              <w:spacing w:after="0" w:line="240" w:lineRule="auto"/>
              <w:rPr>
                <w:rFonts w:ascii="Times New Roman" w:eastAsia="Times New Roman" w:hAnsi="Times New Roman"/>
                <w:sz w:val="20"/>
                <w:szCs w:val="20"/>
              </w:rPr>
            </w:pPr>
          </w:p>
        </w:tc>
        <w:tc>
          <w:tcPr>
            <w:tcW w:w="953" w:type="dxa"/>
            <w:gridSpan w:val="8"/>
            <w:tcBorders>
              <w:top w:val="nil"/>
              <w:left w:val="nil"/>
              <w:bottom w:val="nil"/>
              <w:right w:val="nil"/>
            </w:tcBorders>
            <w:shd w:val="clear" w:color="auto" w:fill="auto"/>
            <w:noWrap/>
            <w:vAlign w:val="bottom"/>
            <w:hideMark/>
          </w:tcPr>
          <w:p w14:paraId="732C0992" w14:textId="2B602706" w:rsidR="00A07AD6" w:rsidRPr="00A07AD6" w:rsidRDefault="003E6C6B" w:rsidP="00A07AD6">
            <w:pPr>
              <w:spacing w:after="0" w:line="240" w:lineRule="auto"/>
              <w:rPr>
                <w:rFonts w:eastAsia="Times New Roman" w:cs="Calibri"/>
                <w:color w:val="000000"/>
              </w:rPr>
            </w:pPr>
            <w:r>
              <w:rPr>
                <w:rFonts w:eastAsia="Times New Roman" w:cs="Calibri"/>
                <w:color w:val="000000"/>
              </w:rPr>
              <w:t xml:space="preserve"> </w:t>
            </w:r>
            <w:r w:rsidR="00270D92">
              <w:rPr>
                <w:rFonts w:eastAsia="Times New Roman" w:cs="Calibri"/>
                <w:color w:val="000000"/>
              </w:rPr>
              <w:t xml:space="preserve"> </w:t>
            </w:r>
            <w:r w:rsidR="00BF50C4" w:rsidRPr="00A07AD6">
              <w:rPr>
                <w:rFonts w:eastAsia="Times New Roman" w:cs="Calibri"/>
                <w:color w:val="000000"/>
              </w:rPr>
              <w:t>S</w:t>
            </w:r>
            <w:r w:rsidR="00A07AD6" w:rsidRPr="00A07AD6">
              <w:rPr>
                <w:rFonts w:eastAsia="Times New Roman" w:cs="Calibri"/>
                <w:color w:val="000000"/>
              </w:rPr>
              <w:t>ept</w:t>
            </w:r>
          </w:p>
        </w:tc>
        <w:tc>
          <w:tcPr>
            <w:tcW w:w="1736" w:type="dxa"/>
            <w:gridSpan w:val="9"/>
            <w:tcBorders>
              <w:top w:val="nil"/>
              <w:left w:val="nil"/>
              <w:bottom w:val="nil"/>
              <w:right w:val="nil"/>
            </w:tcBorders>
            <w:shd w:val="clear" w:color="auto" w:fill="auto"/>
            <w:noWrap/>
            <w:vAlign w:val="bottom"/>
            <w:hideMark/>
          </w:tcPr>
          <w:p w14:paraId="7B78092A"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w:t>
            </w:r>
          </w:p>
        </w:tc>
        <w:tc>
          <w:tcPr>
            <w:tcW w:w="1577" w:type="dxa"/>
            <w:gridSpan w:val="7"/>
            <w:tcBorders>
              <w:top w:val="nil"/>
              <w:left w:val="nil"/>
              <w:bottom w:val="nil"/>
              <w:right w:val="nil"/>
            </w:tcBorders>
            <w:shd w:val="clear" w:color="auto" w:fill="auto"/>
            <w:noWrap/>
            <w:vAlign w:val="bottom"/>
            <w:hideMark/>
          </w:tcPr>
          <w:p w14:paraId="47049C73" w14:textId="77777777" w:rsidR="00A07AD6" w:rsidRPr="00A07AD6" w:rsidRDefault="00A07AD6" w:rsidP="00A07AD6">
            <w:pPr>
              <w:spacing w:after="0" w:line="240" w:lineRule="auto"/>
              <w:rPr>
                <w:rFonts w:eastAsia="Times New Roman" w:cs="Calibri"/>
                <w:color w:val="000000"/>
              </w:rPr>
            </w:pPr>
          </w:p>
        </w:tc>
        <w:tc>
          <w:tcPr>
            <w:tcW w:w="1448" w:type="dxa"/>
            <w:gridSpan w:val="7"/>
            <w:tcBorders>
              <w:top w:val="nil"/>
              <w:left w:val="nil"/>
              <w:bottom w:val="nil"/>
              <w:right w:val="nil"/>
            </w:tcBorders>
            <w:shd w:val="clear" w:color="auto" w:fill="auto"/>
            <w:noWrap/>
            <w:vAlign w:val="bottom"/>
            <w:hideMark/>
          </w:tcPr>
          <w:p w14:paraId="16F2BBE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bonds</w:t>
            </w:r>
          </w:p>
        </w:tc>
        <w:tc>
          <w:tcPr>
            <w:tcW w:w="1480" w:type="dxa"/>
            <w:gridSpan w:val="6"/>
            <w:tcBorders>
              <w:top w:val="nil"/>
              <w:left w:val="nil"/>
              <w:bottom w:val="nil"/>
              <w:right w:val="nil"/>
            </w:tcBorders>
            <w:shd w:val="clear" w:color="auto" w:fill="auto"/>
            <w:noWrap/>
            <w:vAlign w:val="bottom"/>
            <w:hideMark/>
          </w:tcPr>
          <w:p w14:paraId="792025E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360" w:type="dxa"/>
            <w:gridSpan w:val="2"/>
            <w:tcBorders>
              <w:top w:val="nil"/>
              <w:left w:val="nil"/>
              <w:bottom w:val="nil"/>
              <w:right w:val="single" w:sz="8" w:space="0" w:color="auto"/>
            </w:tcBorders>
            <w:shd w:val="clear" w:color="auto" w:fill="auto"/>
            <w:noWrap/>
            <w:vAlign w:val="bottom"/>
            <w:hideMark/>
          </w:tcPr>
          <w:p w14:paraId="615AC83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5899572D" w14:textId="77777777" w:rsidTr="005B1AC3">
        <w:trPr>
          <w:gridAfter w:val="1"/>
          <w:wAfter w:w="143" w:type="dxa"/>
          <w:trHeight w:val="288"/>
        </w:trPr>
        <w:tc>
          <w:tcPr>
            <w:tcW w:w="460" w:type="dxa"/>
            <w:tcBorders>
              <w:top w:val="nil"/>
              <w:left w:val="single" w:sz="8" w:space="0" w:color="auto"/>
              <w:bottom w:val="nil"/>
              <w:right w:val="nil"/>
            </w:tcBorders>
            <w:shd w:val="clear" w:color="auto" w:fill="auto"/>
            <w:noWrap/>
            <w:vAlign w:val="bottom"/>
            <w:hideMark/>
          </w:tcPr>
          <w:p w14:paraId="636DE284"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10</w:t>
            </w:r>
          </w:p>
        </w:tc>
        <w:tc>
          <w:tcPr>
            <w:tcW w:w="2740" w:type="dxa"/>
            <w:gridSpan w:val="5"/>
            <w:tcBorders>
              <w:top w:val="nil"/>
              <w:left w:val="nil"/>
              <w:bottom w:val="nil"/>
              <w:right w:val="nil"/>
            </w:tcBorders>
            <w:shd w:val="clear" w:color="auto" w:fill="auto"/>
            <w:noWrap/>
            <w:vAlign w:val="center"/>
            <w:hideMark/>
          </w:tcPr>
          <w:p w14:paraId="0997C948" w14:textId="77777777" w:rsidR="00A07AD6" w:rsidRPr="00A07AD6" w:rsidRDefault="00A07AD6" w:rsidP="00DE14A5">
            <w:pPr>
              <w:tabs>
                <w:tab w:val="left" w:pos="1065"/>
              </w:tabs>
              <w:spacing w:after="0" w:line="240" w:lineRule="auto"/>
              <w:ind w:left="-14" w:firstLineChars="6" w:firstLine="13"/>
              <w:rPr>
                <w:rFonts w:eastAsia="Times New Roman" w:cs="Calibri"/>
                <w:color w:val="000000"/>
              </w:rPr>
            </w:pPr>
            <w:r w:rsidRPr="00A07AD6">
              <w:rPr>
                <w:rFonts w:eastAsia="Times New Roman" w:cs="Calibri"/>
                <w:color w:val="000000"/>
              </w:rPr>
              <w:t xml:space="preserve">Genova fastigheter </w:t>
            </w:r>
          </w:p>
        </w:tc>
        <w:tc>
          <w:tcPr>
            <w:tcW w:w="272" w:type="dxa"/>
            <w:gridSpan w:val="5"/>
            <w:tcBorders>
              <w:top w:val="nil"/>
              <w:left w:val="nil"/>
              <w:bottom w:val="nil"/>
              <w:right w:val="nil"/>
            </w:tcBorders>
            <w:shd w:val="clear" w:color="auto" w:fill="auto"/>
            <w:noWrap/>
            <w:vAlign w:val="bottom"/>
            <w:hideMark/>
          </w:tcPr>
          <w:p w14:paraId="1F119524" w14:textId="77777777" w:rsidR="00A07AD6" w:rsidRPr="00A07AD6" w:rsidRDefault="00A07AD6" w:rsidP="00A07AD6">
            <w:pPr>
              <w:spacing w:after="0" w:line="240" w:lineRule="auto"/>
              <w:ind w:firstLineChars="500" w:firstLine="1100"/>
              <w:rPr>
                <w:rFonts w:eastAsia="Times New Roman" w:cs="Calibri"/>
                <w:color w:val="000000"/>
              </w:rPr>
            </w:pPr>
          </w:p>
        </w:tc>
        <w:tc>
          <w:tcPr>
            <w:tcW w:w="953" w:type="dxa"/>
            <w:gridSpan w:val="8"/>
            <w:tcBorders>
              <w:top w:val="nil"/>
              <w:left w:val="nil"/>
              <w:bottom w:val="nil"/>
              <w:right w:val="nil"/>
            </w:tcBorders>
            <w:shd w:val="clear" w:color="auto" w:fill="auto"/>
            <w:noWrap/>
            <w:vAlign w:val="bottom"/>
            <w:hideMark/>
          </w:tcPr>
          <w:p w14:paraId="0093529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january</w:t>
            </w:r>
          </w:p>
        </w:tc>
        <w:tc>
          <w:tcPr>
            <w:tcW w:w="1733" w:type="dxa"/>
            <w:gridSpan w:val="9"/>
            <w:tcBorders>
              <w:top w:val="nil"/>
              <w:left w:val="nil"/>
              <w:bottom w:val="nil"/>
              <w:right w:val="nil"/>
            </w:tcBorders>
            <w:shd w:val="clear" w:color="auto" w:fill="auto"/>
            <w:noWrap/>
            <w:vAlign w:val="bottom"/>
            <w:hideMark/>
          </w:tcPr>
          <w:p w14:paraId="2ED3E31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excellent</w:t>
            </w:r>
          </w:p>
        </w:tc>
        <w:tc>
          <w:tcPr>
            <w:tcW w:w="1577" w:type="dxa"/>
            <w:gridSpan w:val="7"/>
            <w:tcBorders>
              <w:top w:val="nil"/>
              <w:left w:val="nil"/>
              <w:bottom w:val="nil"/>
              <w:right w:val="nil"/>
            </w:tcBorders>
            <w:shd w:val="clear" w:color="auto" w:fill="auto"/>
            <w:noWrap/>
            <w:vAlign w:val="bottom"/>
            <w:hideMark/>
          </w:tcPr>
          <w:p w14:paraId="11BABADA" w14:textId="77777777" w:rsidR="00A07AD6" w:rsidRPr="00A07AD6" w:rsidRDefault="00A07AD6" w:rsidP="00A07AD6">
            <w:pPr>
              <w:spacing w:after="0" w:line="240" w:lineRule="auto"/>
              <w:rPr>
                <w:rFonts w:eastAsia="Times New Roman" w:cs="Calibri"/>
                <w:color w:val="000000"/>
              </w:rPr>
            </w:pPr>
          </w:p>
        </w:tc>
        <w:tc>
          <w:tcPr>
            <w:tcW w:w="1441" w:type="dxa"/>
            <w:gridSpan w:val="7"/>
            <w:tcBorders>
              <w:top w:val="nil"/>
              <w:left w:val="nil"/>
              <w:bottom w:val="nil"/>
              <w:right w:val="nil"/>
            </w:tcBorders>
            <w:shd w:val="clear" w:color="auto" w:fill="auto"/>
            <w:noWrap/>
            <w:vAlign w:val="bottom"/>
            <w:hideMark/>
          </w:tcPr>
          <w:p w14:paraId="439EFA9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496" w:type="dxa"/>
            <w:gridSpan w:val="7"/>
            <w:tcBorders>
              <w:top w:val="nil"/>
              <w:left w:val="nil"/>
              <w:bottom w:val="nil"/>
              <w:right w:val="nil"/>
            </w:tcBorders>
            <w:shd w:val="clear" w:color="auto" w:fill="auto"/>
            <w:noWrap/>
            <w:vAlign w:val="bottom"/>
            <w:hideMark/>
          </w:tcPr>
          <w:p w14:paraId="4500A70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360" w:type="dxa"/>
            <w:gridSpan w:val="2"/>
            <w:tcBorders>
              <w:top w:val="nil"/>
              <w:left w:val="nil"/>
              <w:bottom w:val="nil"/>
              <w:right w:val="single" w:sz="8" w:space="0" w:color="auto"/>
            </w:tcBorders>
            <w:shd w:val="clear" w:color="auto" w:fill="auto"/>
            <w:noWrap/>
            <w:vAlign w:val="bottom"/>
            <w:hideMark/>
          </w:tcPr>
          <w:p w14:paraId="45144E7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50AA8C42" w14:textId="77777777" w:rsidTr="005B1AC3">
        <w:trPr>
          <w:gridAfter w:val="1"/>
          <w:wAfter w:w="143" w:type="dxa"/>
          <w:trHeight w:val="288"/>
        </w:trPr>
        <w:tc>
          <w:tcPr>
            <w:tcW w:w="460" w:type="dxa"/>
            <w:tcBorders>
              <w:top w:val="nil"/>
              <w:left w:val="single" w:sz="8" w:space="0" w:color="auto"/>
              <w:bottom w:val="nil"/>
              <w:right w:val="nil"/>
            </w:tcBorders>
            <w:shd w:val="clear" w:color="auto" w:fill="auto"/>
            <w:noWrap/>
            <w:vAlign w:val="bottom"/>
            <w:hideMark/>
          </w:tcPr>
          <w:p w14:paraId="78CEAC74"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11</w:t>
            </w:r>
          </w:p>
        </w:tc>
        <w:tc>
          <w:tcPr>
            <w:tcW w:w="2339" w:type="dxa"/>
            <w:tcBorders>
              <w:top w:val="nil"/>
              <w:left w:val="nil"/>
              <w:bottom w:val="nil"/>
              <w:right w:val="nil"/>
            </w:tcBorders>
            <w:shd w:val="clear" w:color="auto" w:fill="auto"/>
            <w:noWrap/>
            <w:vAlign w:val="center"/>
            <w:hideMark/>
          </w:tcPr>
          <w:p w14:paraId="2BBADD72" w14:textId="77777777" w:rsidR="00A07AD6" w:rsidRPr="00A07AD6" w:rsidRDefault="00A07AD6" w:rsidP="00DE14A5">
            <w:pPr>
              <w:tabs>
                <w:tab w:val="left" w:pos="1065"/>
              </w:tabs>
              <w:spacing w:after="0" w:line="240" w:lineRule="auto"/>
              <w:rPr>
                <w:rFonts w:eastAsia="Times New Roman" w:cs="Calibri"/>
                <w:color w:val="000000"/>
              </w:rPr>
            </w:pPr>
            <w:r w:rsidRPr="00A07AD6">
              <w:rPr>
                <w:rFonts w:eastAsia="Times New Roman" w:cs="Calibri"/>
                <w:color w:val="000000"/>
              </w:rPr>
              <w:t xml:space="preserve">Acrinova </w:t>
            </w:r>
          </w:p>
        </w:tc>
        <w:tc>
          <w:tcPr>
            <w:tcW w:w="408" w:type="dxa"/>
            <w:gridSpan w:val="5"/>
            <w:tcBorders>
              <w:top w:val="nil"/>
              <w:left w:val="nil"/>
              <w:bottom w:val="nil"/>
              <w:right w:val="nil"/>
            </w:tcBorders>
            <w:shd w:val="clear" w:color="auto" w:fill="auto"/>
            <w:noWrap/>
            <w:vAlign w:val="bottom"/>
            <w:hideMark/>
          </w:tcPr>
          <w:p w14:paraId="3ACE2945" w14:textId="77777777" w:rsidR="00A07AD6" w:rsidRPr="00A07AD6" w:rsidRDefault="00A07AD6" w:rsidP="00A07AD6">
            <w:pPr>
              <w:spacing w:after="0" w:line="240" w:lineRule="auto"/>
              <w:ind w:firstLineChars="500" w:firstLine="1100"/>
              <w:rPr>
                <w:rFonts w:eastAsia="Times New Roman" w:cs="Calibri"/>
                <w:color w:val="000000"/>
              </w:rPr>
            </w:pPr>
          </w:p>
        </w:tc>
        <w:tc>
          <w:tcPr>
            <w:tcW w:w="271" w:type="dxa"/>
            <w:gridSpan w:val="5"/>
            <w:tcBorders>
              <w:top w:val="nil"/>
              <w:left w:val="nil"/>
              <w:bottom w:val="nil"/>
              <w:right w:val="nil"/>
            </w:tcBorders>
            <w:shd w:val="clear" w:color="auto" w:fill="auto"/>
            <w:noWrap/>
            <w:hideMark/>
          </w:tcPr>
          <w:p w14:paraId="12120127" w14:textId="77777777" w:rsidR="00A07AD6" w:rsidRPr="00A07AD6" w:rsidRDefault="00A07AD6" w:rsidP="00A07AD6">
            <w:pPr>
              <w:spacing w:after="0" w:line="240" w:lineRule="auto"/>
              <w:rPr>
                <w:rFonts w:ascii="Times New Roman" w:eastAsia="Times New Roman" w:hAnsi="Times New Roman"/>
                <w:sz w:val="20"/>
                <w:szCs w:val="20"/>
              </w:rPr>
            </w:pPr>
          </w:p>
        </w:tc>
        <w:tc>
          <w:tcPr>
            <w:tcW w:w="953" w:type="dxa"/>
            <w:gridSpan w:val="8"/>
            <w:tcBorders>
              <w:top w:val="nil"/>
              <w:left w:val="nil"/>
              <w:bottom w:val="nil"/>
              <w:right w:val="nil"/>
            </w:tcBorders>
            <w:shd w:val="clear" w:color="auto" w:fill="auto"/>
            <w:noWrap/>
            <w:hideMark/>
          </w:tcPr>
          <w:p w14:paraId="57C2FAC6" w14:textId="195B0418" w:rsidR="00A07AD6" w:rsidRPr="00A07AD6" w:rsidRDefault="00BF50C4" w:rsidP="00A07AD6">
            <w:pPr>
              <w:spacing w:after="0" w:line="240" w:lineRule="auto"/>
              <w:rPr>
                <w:rFonts w:eastAsia="Times New Roman" w:cs="Calibri"/>
                <w:color w:val="000000"/>
              </w:rPr>
            </w:pPr>
            <w:r w:rsidRPr="00A07AD6">
              <w:rPr>
                <w:rFonts w:eastAsia="Times New Roman" w:cs="Calibri"/>
                <w:color w:val="000000"/>
              </w:rPr>
              <w:t>N</w:t>
            </w:r>
            <w:r w:rsidR="00A07AD6" w:rsidRPr="00A07AD6">
              <w:rPr>
                <w:rFonts w:eastAsia="Times New Roman" w:cs="Calibri"/>
                <w:color w:val="000000"/>
              </w:rPr>
              <w:t>ov</w:t>
            </w:r>
          </w:p>
        </w:tc>
        <w:tc>
          <w:tcPr>
            <w:tcW w:w="1736" w:type="dxa"/>
            <w:gridSpan w:val="9"/>
            <w:tcBorders>
              <w:top w:val="nil"/>
              <w:left w:val="nil"/>
              <w:bottom w:val="nil"/>
              <w:right w:val="nil"/>
            </w:tcBorders>
            <w:shd w:val="clear" w:color="auto" w:fill="auto"/>
            <w:noWrap/>
            <w:hideMark/>
          </w:tcPr>
          <w:p w14:paraId="6E1B745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577" w:type="dxa"/>
            <w:gridSpan w:val="7"/>
            <w:tcBorders>
              <w:top w:val="nil"/>
              <w:left w:val="nil"/>
              <w:bottom w:val="nil"/>
              <w:right w:val="nil"/>
            </w:tcBorders>
            <w:shd w:val="clear" w:color="auto" w:fill="auto"/>
            <w:noWrap/>
            <w:hideMark/>
          </w:tcPr>
          <w:p w14:paraId="2E4A20F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448" w:type="dxa"/>
            <w:gridSpan w:val="7"/>
            <w:tcBorders>
              <w:top w:val="nil"/>
              <w:left w:val="nil"/>
              <w:bottom w:val="nil"/>
              <w:right w:val="nil"/>
            </w:tcBorders>
            <w:shd w:val="clear" w:color="auto" w:fill="auto"/>
            <w:noWrap/>
            <w:hideMark/>
          </w:tcPr>
          <w:p w14:paraId="6CDF7FF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480" w:type="dxa"/>
            <w:gridSpan w:val="6"/>
            <w:tcBorders>
              <w:top w:val="nil"/>
              <w:left w:val="nil"/>
              <w:bottom w:val="nil"/>
              <w:right w:val="nil"/>
            </w:tcBorders>
            <w:shd w:val="clear" w:color="auto" w:fill="auto"/>
            <w:noWrap/>
            <w:hideMark/>
          </w:tcPr>
          <w:p w14:paraId="553D1792"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360" w:type="dxa"/>
            <w:gridSpan w:val="2"/>
            <w:tcBorders>
              <w:top w:val="nil"/>
              <w:left w:val="nil"/>
              <w:bottom w:val="nil"/>
              <w:right w:val="single" w:sz="8" w:space="0" w:color="auto"/>
            </w:tcBorders>
            <w:shd w:val="clear" w:color="auto" w:fill="auto"/>
            <w:noWrap/>
            <w:hideMark/>
          </w:tcPr>
          <w:p w14:paraId="23BE2B2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7D6BDAC6" w14:textId="77777777" w:rsidTr="005B1AC3">
        <w:trPr>
          <w:gridAfter w:val="1"/>
          <w:wAfter w:w="143" w:type="dxa"/>
          <w:trHeight w:val="288"/>
        </w:trPr>
        <w:tc>
          <w:tcPr>
            <w:tcW w:w="460" w:type="dxa"/>
            <w:tcBorders>
              <w:top w:val="nil"/>
              <w:left w:val="single" w:sz="8" w:space="0" w:color="auto"/>
              <w:bottom w:val="nil"/>
              <w:right w:val="nil"/>
            </w:tcBorders>
            <w:shd w:val="clear" w:color="auto" w:fill="auto"/>
            <w:noWrap/>
            <w:vAlign w:val="bottom"/>
            <w:hideMark/>
          </w:tcPr>
          <w:p w14:paraId="4A37507B"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12</w:t>
            </w:r>
          </w:p>
        </w:tc>
        <w:tc>
          <w:tcPr>
            <w:tcW w:w="2740" w:type="dxa"/>
            <w:gridSpan w:val="5"/>
            <w:tcBorders>
              <w:top w:val="nil"/>
              <w:left w:val="nil"/>
              <w:bottom w:val="nil"/>
              <w:right w:val="nil"/>
            </w:tcBorders>
            <w:shd w:val="clear" w:color="auto" w:fill="auto"/>
            <w:noWrap/>
            <w:vAlign w:val="center"/>
            <w:hideMark/>
          </w:tcPr>
          <w:p w14:paraId="47176A95" w14:textId="77777777" w:rsidR="00A07AD6" w:rsidRPr="00A07AD6" w:rsidRDefault="00A07AD6" w:rsidP="00DE14A5">
            <w:pPr>
              <w:tabs>
                <w:tab w:val="left" w:pos="1065"/>
              </w:tabs>
              <w:spacing w:after="0" w:line="240" w:lineRule="auto"/>
              <w:ind w:leftChars="-7" w:left="-2" w:hangingChars="6" w:hanging="13"/>
              <w:rPr>
                <w:rFonts w:eastAsia="Times New Roman" w:cs="Calibri"/>
                <w:color w:val="000000"/>
              </w:rPr>
            </w:pPr>
            <w:r w:rsidRPr="00A07AD6">
              <w:rPr>
                <w:rFonts w:eastAsia="Times New Roman" w:cs="Calibri"/>
                <w:color w:val="000000"/>
              </w:rPr>
              <w:t>Samhällsbyggnadsbolaget</w:t>
            </w:r>
          </w:p>
        </w:tc>
        <w:tc>
          <w:tcPr>
            <w:tcW w:w="272" w:type="dxa"/>
            <w:gridSpan w:val="5"/>
            <w:tcBorders>
              <w:top w:val="nil"/>
              <w:left w:val="nil"/>
              <w:bottom w:val="nil"/>
              <w:right w:val="nil"/>
            </w:tcBorders>
            <w:shd w:val="clear" w:color="auto" w:fill="auto"/>
            <w:noWrap/>
            <w:vAlign w:val="bottom"/>
            <w:hideMark/>
          </w:tcPr>
          <w:p w14:paraId="68609F2F" w14:textId="77777777" w:rsidR="00A07AD6" w:rsidRPr="00A07AD6" w:rsidRDefault="00A07AD6" w:rsidP="00A07AD6">
            <w:pPr>
              <w:spacing w:after="0" w:line="240" w:lineRule="auto"/>
              <w:ind w:firstLineChars="500" w:firstLine="1100"/>
              <w:rPr>
                <w:rFonts w:eastAsia="Times New Roman" w:cs="Calibri"/>
                <w:color w:val="000000"/>
              </w:rPr>
            </w:pPr>
          </w:p>
        </w:tc>
        <w:tc>
          <w:tcPr>
            <w:tcW w:w="953" w:type="dxa"/>
            <w:gridSpan w:val="8"/>
            <w:tcBorders>
              <w:top w:val="nil"/>
              <w:left w:val="nil"/>
              <w:bottom w:val="nil"/>
              <w:right w:val="nil"/>
            </w:tcBorders>
            <w:shd w:val="clear" w:color="auto" w:fill="auto"/>
            <w:noWrap/>
            <w:vAlign w:val="bottom"/>
            <w:hideMark/>
          </w:tcPr>
          <w:p w14:paraId="5DC7ABBC" w14:textId="70D4B9CB" w:rsidR="00A07AD6" w:rsidRPr="00A07AD6" w:rsidRDefault="00BF50C4" w:rsidP="00A07AD6">
            <w:pPr>
              <w:spacing w:after="0" w:line="240" w:lineRule="auto"/>
              <w:rPr>
                <w:rFonts w:eastAsia="Times New Roman" w:cs="Calibri"/>
                <w:color w:val="000000"/>
              </w:rPr>
            </w:pPr>
            <w:r>
              <w:rPr>
                <w:rFonts w:eastAsia="Times New Roman" w:cs="Calibri"/>
                <w:color w:val="000000"/>
              </w:rPr>
              <w:t>June</w:t>
            </w:r>
          </w:p>
        </w:tc>
        <w:tc>
          <w:tcPr>
            <w:tcW w:w="1733" w:type="dxa"/>
            <w:gridSpan w:val="9"/>
            <w:tcBorders>
              <w:top w:val="nil"/>
              <w:left w:val="nil"/>
              <w:bottom w:val="nil"/>
              <w:right w:val="nil"/>
            </w:tcBorders>
            <w:shd w:val="clear" w:color="auto" w:fill="auto"/>
            <w:noWrap/>
            <w:vAlign w:val="bottom"/>
            <w:hideMark/>
          </w:tcPr>
          <w:p w14:paraId="5014271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577" w:type="dxa"/>
            <w:gridSpan w:val="7"/>
            <w:tcBorders>
              <w:top w:val="nil"/>
              <w:left w:val="nil"/>
              <w:bottom w:val="nil"/>
              <w:right w:val="nil"/>
            </w:tcBorders>
            <w:shd w:val="clear" w:color="auto" w:fill="auto"/>
            <w:noWrap/>
            <w:vAlign w:val="bottom"/>
            <w:hideMark/>
          </w:tcPr>
          <w:p w14:paraId="302C3E07"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441" w:type="dxa"/>
            <w:gridSpan w:val="7"/>
            <w:tcBorders>
              <w:top w:val="nil"/>
              <w:left w:val="nil"/>
              <w:bottom w:val="nil"/>
              <w:right w:val="nil"/>
            </w:tcBorders>
            <w:shd w:val="clear" w:color="auto" w:fill="auto"/>
            <w:noWrap/>
            <w:vAlign w:val="bottom"/>
            <w:hideMark/>
          </w:tcPr>
          <w:p w14:paraId="2C544D83"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496" w:type="dxa"/>
            <w:gridSpan w:val="7"/>
            <w:tcBorders>
              <w:top w:val="nil"/>
              <w:left w:val="nil"/>
              <w:bottom w:val="nil"/>
              <w:right w:val="nil"/>
            </w:tcBorders>
            <w:shd w:val="clear" w:color="auto" w:fill="auto"/>
            <w:noWrap/>
            <w:vAlign w:val="bottom"/>
            <w:hideMark/>
          </w:tcPr>
          <w:p w14:paraId="392E728E"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assessed</w:t>
            </w:r>
          </w:p>
        </w:tc>
        <w:tc>
          <w:tcPr>
            <w:tcW w:w="360" w:type="dxa"/>
            <w:gridSpan w:val="2"/>
            <w:tcBorders>
              <w:top w:val="nil"/>
              <w:left w:val="nil"/>
              <w:bottom w:val="nil"/>
              <w:right w:val="single" w:sz="8" w:space="0" w:color="auto"/>
            </w:tcBorders>
            <w:shd w:val="clear" w:color="auto" w:fill="auto"/>
            <w:noWrap/>
            <w:vAlign w:val="bottom"/>
            <w:hideMark/>
          </w:tcPr>
          <w:p w14:paraId="45ED94DE" w14:textId="77777777" w:rsidR="00A07AD6" w:rsidRPr="00A07AD6" w:rsidRDefault="00A07AD6" w:rsidP="00C809B9">
            <w:pPr>
              <w:spacing w:after="0" w:line="240" w:lineRule="auto"/>
              <w:ind w:left="-467"/>
              <w:rPr>
                <w:rFonts w:eastAsia="Times New Roman" w:cs="Calibri"/>
                <w:color w:val="000000"/>
              </w:rPr>
            </w:pPr>
            <w:r w:rsidRPr="00A07AD6">
              <w:rPr>
                <w:rFonts w:eastAsia="Times New Roman" w:cs="Calibri"/>
                <w:color w:val="000000"/>
              </w:rPr>
              <w:t>x</w:t>
            </w:r>
          </w:p>
        </w:tc>
      </w:tr>
      <w:tr w:rsidR="005B1AC3" w:rsidRPr="00A07AD6" w14:paraId="3863182C" w14:textId="77777777" w:rsidTr="005B1AC3">
        <w:trPr>
          <w:gridAfter w:val="1"/>
          <w:wAfter w:w="143" w:type="dxa"/>
          <w:trHeight w:val="564"/>
        </w:trPr>
        <w:tc>
          <w:tcPr>
            <w:tcW w:w="460" w:type="dxa"/>
            <w:tcBorders>
              <w:top w:val="nil"/>
              <w:left w:val="single" w:sz="8" w:space="0" w:color="auto"/>
              <w:bottom w:val="nil"/>
              <w:right w:val="nil"/>
            </w:tcBorders>
            <w:shd w:val="clear" w:color="auto" w:fill="auto"/>
            <w:noWrap/>
            <w:vAlign w:val="center"/>
            <w:hideMark/>
          </w:tcPr>
          <w:p w14:paraId="0B419CAF"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13</w:t>
            </w:r>
          </w:p>
        </w:tc>
        <w:tc>
          <w:tcPr>
            <w:tcW w:w="2339" w:type="dxa"/>
            <w:tcBorders>
              <w:top w:val="nil"/>
              <w:left w:val="nil"/>
              <w:bottom w:val="nil"/>
              <w:right w:val="nil"/>
            </w:tcBorders>
            <w:shd w:val="clear" w:color="auto" w:fill="auto"/>
            <w:noWrap/>
            <w:vAlign w:val="center"/>
            <w:hideMark/>
          </w:tcPr>
          <w:p w14:paraId="6F249646" w14:textId="77777777" w:rsidR="00A07AD6" w:rsidRPr="00A07AD6" w:rsidRDefault="00A07AD6" w:rsidP="00DE14A5">
            <w:pPr>
              <w:tabs>
                <w:tab w:val="left" w:pos="1065"/>
              </w:tabs>
              <w:spacing w:after="0" w:line="240" w:lineRule="auto"/>
              <w:rPr>
                <w:rFonts w:eastAsia="Times New Roman" w:cs="Calibri"/>
                <w:color w:val="000000"/>
              </w:rPr>
            </w:pPr>
            <w:r w:rsidRPr="00A07AD6">
              <w:rPr>
                <w:rFonts w:eastAsia="Times New Roman" w:cs="Calibri"/>
                <w:color w:val="000000"/>
              </w:rPr>
              <w:t>Atrium Ljungberg</w:t>
            </w:r>
          </w:p>
        </w:tc>
        <w:tc>
          <w:tcPr>
            <w:tcW w:w="408" w:type="dxa"/>
            <w:gridSpan w:val="5"/>
            <w:tcBorders>
              <w:top w:val="nil"/>
              <w:left w:val="nil"/>
              <w:bottom w:val="nil"/>
              <w:right w:val="nil"/>
            </w:tcBorders>
            <w:shd w:val="clear" w:color="auto" w:fill="auto"/>
            <w:noWrap/>
            <w:vAlign w:val="bottom"/>
            <w:hideMark/>
          </w:tcPr>
          <w:p w14:paraId="69A5FE2D" w14:textId="77777777" w:rsidR="00A07AD6" w:rsidRPr="00A07AD6" w:rsidRDefault="00A07AD6" w:rsidP="00A07AD6">
            <w:pPr>
              <w:spacing w:after="0" w:line="240" w:lineRule="auto"/>
              <w:ind w:firstLineChars="500" w:firstLine="1100"/>
              <w:rPr>
                <w:rFonts w:eastAsia="Times New Roman" w:cs="Calibri"/>
                <w:color w:val="000000"/>
              </w:rPr>
            </w:pPr>
          </w:p>
        </w:tc>
        <w:tc>
          <w:tcPr>
            <w:tcW w:w="271" w:type="dxa"/>
            <w:gridSpan w:val="5"/>
            <w:tcBorders>
              <w:top w:val="nil"/>
              <w:left w:val="nil"/>
              <w:bottom w:val="nil"/>
              <w:right w:val="nil"/>
            </w:tcBorders>
            <w:shd w:val="clear" w:color="auto" w:fill="auto"/>
            <w:noWrap/>
            <w:vAlign w:val="bottom"/>
            <w:hideMark/>
          </w:tcPr>
          <w:p w14:paraId="20150334" w14:textId="77777777" w:rsidR="00A07AD6" w:rsidRPr="00A07AD6" w:rsidRDefault="00A07AD6" w:rsidP="00A07AD6">
            <w:pPr>
              <w:spacing w:after="0" w:line="240" w:lineRule="auto"/>
              <w:rPr>
                <w:rFonts w:ascii="Times New Roman" w:eastAsia="Times New Roman" w:hAnsi="Times New Roman"/>
                <w:sz w:val="20"/>
                <w:szCs w:val="20"/>
              </w:rPr>
            </w:pPr>
          </w:p>
        </w:tc>
        <w:tc>
          <w:tcPr>
            <w:tcW w:w="953" w:type="dxa"/>
            <w:gridSpan w:val="8"/>
            <w:tcBorders>
              <w:top w:val="nil"/>
              <w:left w:val="nil"/>
              <w:bottom w:val="nil"/>
              <w:right w:val="nil"/>
            </w:tcBorders>
            <w:shd w:val="clear" w:color="auto" w:fill="auto"/>
            <w:noWrap/>
            <w:hideMark/>
          </w:tcPr>
          <w:p w14:paraId="6128A938"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2022</w:t>
            </w:r>
          </w:p>
        </w:tc>
        <w:tc>
          <w:tcPr>
            <w:tcW w:w="1736" w:type="dxa"/>
            <w:gridSpan w:val="9"/>
            <w:tcBorders>
              <w:top w:val="nil"/>
              <w:left w:val="nil"/>
              <w:bottom w:val="nil"/>
              <w:right w:val="nil"/>
            </w:tcBorders>
            <w:shd w:val="clear" w:color="auto" w:fill="auto"/>
            <w:noWrap/>
            <w:hideMark/>
          </w:tcPr>
          <w:p w14:paraId="6FF0C68C"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excellent</w:t>
            </w:r>
          </w:p>
        </w:tc>
        <w:tc>
          <w:tcPr>
            <w:tcW w:w="1577" w:type="dxa"/>
            <w:gridSpan w:val="7"/>
            <w:tcBorders>
              <w:top w:val="nil"/>
              <w:left w:val="nil"/>
              <w:bottom w:val="nil"/>
              <w:right w:val="nil"/>
            </w:tcBorders>
            <w:shd w:val="clear" w:color="auto" w:fill="auto"/>
            <w:noWrap/>
            <w:hideMark/>
          </w:tcPr>
          <w:p w14:paraId="02FDD6B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448" w:type="dxa"/>
            <w:gridSpan w:val="7"/>
            <w:tcBorders>
              <w:top w:val="nil"/>
              <w:left w:val="nil"/>
              <w:bottom w:val="nil"/>
              <w:right w:val="nil"/>
            </w:tcBorders>
            <w:shd w:val="clear" w:color="auto" w:fill="auto"/>
            <w:vAlign w:val="bottom"/>
            <w:hideMark/>
          </w:tcPr>
          <w:p w14:paraId="5F229C5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xml:space="preserve">financing/ greenbonds </w:t>
            </w:r>
          </w:p>
        </w:tc>
        <w:tc>
          <w:tcPr>
            <w:tcW w:w="1480" w:type="dxa"/>
            <w:gridSpan w:val="6"/>
            <w:tcBorders>
              <w:top w:val="nil"/>
              <w:left w:val="nil"/>
              <w:bottom w:val="nil"/>
              <w:right w:val="nil"/>
            </w:tcBorders>
            <w:shd w:val="clear" w:color="auto" w:fill="auto"/>
            <w:noWrap/>
            <w:vAlign w:val="bottom"/>
            <w:hideMark/>
          </w:tcPr>
          <w:p w14:paraId="4DD3C2F8"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360" w:type="dxa"/>
            <w:gridSpan w:val="2"/>
            <w:tcBorders>
              <w:top w:val="nil"/>
              <w:left w:val="nil"/>
              <w:bottom w:val="nil"/>
              <w:right w:val="single" w:sz="8" w:space="0" w:color="auto"/>
            </w:tcBorders>
            <w:shd w:val="clear" w:color="auto" w:fill="auto"/>
            <w:noWrap/>
            <w:vAlign w:val="bottom"/>
            <w:hideMark/>
          </w:tcPr>
          <w:p w14:paraId="4FEB720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3B9EE1FF" w14:textId="77777777" w:rsidTr="005B1AC3">
        <w:trPr>
          <w:gridAfter w:val="5"/>
          <w:wAfter w:w="837" w:type="dxa"/>
          <w:trHeight w:val="288"/>
        </w:trPr>
        <w:tc>
          <w:tcPr>
            <w:tcW w:w="460" w:type="dxa"/>
            <w:tcBorders>
              <w:top w:val="nil"/>
              <w:left w:val="single" w:sz="8" w:space="0" w:color="auto"/>
              <w:bottom w:val="nil"/>
              <w:right w:val="nil"/>
            </w:tcBorders>
            <w:shd w:val="clear" w:color="auto" w:fill="auto"/>
            <w:noWrap/>
            <w:vAlign w:val="bottom"/>
            <w:hideMark/>
          </w:tcPr>
          <w:p w14:paraId="14491BEA"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14</w:t>
            </w:r>
          </w:p>
        </w:tc>
        <w:tc>
          <w:tcPr>
            <w:tcW w:w="2339" w:type="dxa"/>
            <w:tcBorders>
              <w:top w:val="nil"/>
              <w:left w:val="nil"/>
              <w:bottom w:val="nil"/>
              <w:right w:val="nil"/>
            </w:tcBorders>
            <w:shd w:val="clear" w:color="auto" w:fill="auto"/>
            <w:noWrap/>
            <w:vAlign w:val="center"/>
            <w:hideMark/>
          </w:tcPr>
          <w:p w14:paraId="53C09907" w14:textId="77777777" w:rsidR="00A07AD6" w:rsidRPr="00A07AD6" w:rsidRDefault="00A07AD6" w:rsidP="00DE14A5">
            <w:pPr>
              <w:tabs>
                <w:tab w:val="left" w:pos="1065"/>
              </w:tabs>
              <w:spacing w:after="0" w:line="240" w:lineRule="auto"/>
              <w:ind w:left="-14"/>
              <w:rPr>
                <w:rFonts w:eastAsia="Times New Roman" w:cs="Calibri"/>
                <w:color w:val="000000"/>
              </w:rPr>
            </w:pPr>
            <w:r w:rsidRPr="00A07AD6">
              <w:rPr>
                <w:rFonts w:eastAsia="Times New Roman" w:cs="Calibri"/>
                <w:color w:val="000000"/>
              </w:rPr>
              <w:t>Vacse</w:t>
            </w:r>
          </w:p>
        </w:tc>
        <w:tc>
          <w:tcPr>
            <w:tcW w:w="246" w:type="dxa"/>
            <w:gridSpan w:val="3"/>
            <w:tcBorders>
              <w:top w:val="nil"/>
              <w:left w:val="nil"/>
              <w:bottom w:val="nil"/>
              <w:right w:val="nil"/>
            </w:tcBorders>
            <w:shd w:val="clear" w:color="auto" w:fill="auto"/>
            <w:noWrap/>
            <w:vAlign w:val="bottom"/>
            <w:hideMark/>
          </w:tcPr>
          <w:p w14:paraId="1EBB8427" w14:textId="77777777" w:rsidR="00A07AD6" w:rsidRPr="00A07AD6" w:rsidRDefault="00A07AD6" w:rsidP="00DE14A5">
            <w:pPr>
              <w:tabs>
                <w:tab w:val="left" w:pos="1065"/>
              </w:tabs>
              <w:spacing w:after="0" w:line="240" w:lineRule="auto"/>
              <w:ind w:left="412" w:firstLineChars="500" w:firstLine="1100"/>
              <w:rPr>
                <w:rFonts w:eastAsia="Times New Roman" w:cs="Calibri"/>
                <w:color w:val="000000"/>
              </w:rPr>
            </w:pPr>
          </w:p>
        </w:tc>
        <w:tc>
          <w:tcPr>
            <w:tcW w:w="317" w:type="dxa"/>
            <w:gridSpan w:val="5"/>
            <w:tcBorders>
              <w:top w:val="nil"/>
              <w:left w:val="nil"/>
              <w:bottom w:val="nil"/>
              <w:right w:val="nil"/>
            </w:tcBorders>
            <w:shd w:val="clear" w:color="auto" w:fill="auto"/>
            <w:noWrap/>
            <w:vAlign w:val="bottom"/>
            <w:hideMark/>
          </w:tcPr>
          <w:p w14:paraId="1AC98125" w14:textId="77777777" w:rsidR="00A07AD6" w:rsidRPr="00A07AD6" w:rsidRDefault="00A07AD6" w:rsidP="00A07AD6">
            <w:pPr>
              <w:spacing w:after="0" w:line="240" w:lineRule="auto"/>
              <w:rPr>
                <w:rFonts w:ascii="Times New Roman" w:eastAsia="Times New Roman" w:hAnsi="Times New Roman"/>
                <w:sz w:val="20"/>
                <w:szCs w:val="20"/>
              </w:rPr>
            </w:pPr>
          </w:p>
        </w:tc>
        <w:tc>
          <w:tcPr>
            <w:tcW w:w="329" w:type="dxa"/>
            <w:gridSpan w:val="6"/>
            <w:tcBorders>
              <w:top w:val="nil"/>
              <w:left w:val="nil"/>
              <w:bottom w:val="nil"/>
              <w:right w:val="nil"/>
            </w:tcBorders>
            <w:shd w:val="clear" w:color="auto" w:fill="auto"/>
            <w:noWrap/>
            <w:vAlign w:val="bottom"/>
            <w:hideMark/>
          </w:tcPr>
          <w:p w14:paraId="3F6C2C07" w14:textId="77777777" w:rsidR="00A07AD6" w:rsidRPr="00A07AD6" w:rsidRDefault="00A07AD6" w:rsidP="00A07AD6">
            <w:pPr>
              <w:spacing w:after="0" w:line="240" w:lineRule="auto"/>
              <w:rPr>
                <w:rFonts w:ascii="Times New Roman" w:eastAsia="Times New Roman" w:hAnsi="Times New Roman"/>
                <w:sz w:val="20"/>
                <w:szCs w:val="20"/>
              </w:rPr>
            </w:pPr>
          </w:p>
        </w:tc>
        <w:tc>
          <w:tcPr>
            <w:tcW w:w="1100" w:type="dxa"/>
            <w:gridSpan w:val="8"/>
            <w:tcBorders>
              <w:top w:val="nil"/>
              <w:left w:val="nil"/>
              <w:bottom w:val="nil"/>
              <w:right w:val="nil"/>
            </w:tcBorders>
            <w:shd w:val="clear" w:color="auto" w:fill="auto"/>
            <w:noWrap/>
            <w:vAlign w:val="bottom"/>
            <w:hideMark/>
          </w:tcPr>
          <w:p w14:paraId="33E1DC3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xml:space="preserve">sept </w:t>
            </w:r>
          </w:p>
        </w:tc>
        <w:tc>
          <w:tcPr>
            <w:tcW w:w="1144" w:type="dxa"/>
            <w:gridSpan w:val="3"/>
            <w:tcBorders>
              <w:top w:val="nil"/>
              <w:left w:val="nil"/>
              <w:bottom w:val="nil"/>
              <w:right w:val="nil"/>
            </w:tcBorders>
            <w:shd w:val="clear" w:color="auto" w:fill="auto"/>
            <w:noWrap/>
            <w:vAlign w:val="bottom"/>
            <w:hideMark/>
          </w:tcPr>
          <w:p w14:paraId="7ACAE5E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good</w:t>
            </w:r>
          </w:p>
        </w:tc>
        <w:tc>
          <w:tcPr>
            <w:tcW w:w="1359" w:type="dxa"/>
            <w:gridSpan w:val="6"/>
            <w:tcBorders>
              <w:top w:val="nil"/>
              <w:left w:val="nil"/>
              <w:bottom w:val="nil"/>
              <w:right w:val="nil"/>
            </w:tcBorders>
            <w:shd w:val="clear" w:color="auto" w:fill="auto"/>
            <w:noWrap/>
            <w:vAlign w:val="bottom"/>
            <w:hideMark/>
          </w:tcPr>
          <w:p w14:paraId="54E1BAC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757" w:type="dxa"/>
            <w:gridSpan w:val="6"/>
            <w:tcBorders>
              <w:top w:val="nil"/>
              <w:left w:val="nil"/>
              <w:bottom w:val="nil"/>
              <w:right w:val="nil"/>
            </w:tcBorders>
            <w:shd w:val="clear" w:color="auto" w:fill="auto"/>
            <w:noWrap/>
            <w:vAlign w:val="bottom"/>
            <w:hideMark/>
          </w:tcPr>
          <w:p w14:paraId="72C786F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greenbonds</w:t>
            </w:r>
          </w:p>
        </w:tc>
        <w:tc>
          <w:tcPr>
            <w:tcW w:w="1039" w:type="dxa"/>
            <w:gridSpan w:val="6"/>
            <w:tcBorders>
              <w:top w:val="nil"/>
              <w:left w:val="nil"/>
              <w:bottom w:val="nil"/>
              <w:right w:val="nil"/>
            </w:tcBorders>
            <w:shd w:val="clear" w:color="auto" w:fill="auto"/>
            <w:noWrap/>
            <w:vAlign w:val="bottom"/>
            <w:hideMark/>
          </w:tcPr>
          <w:p w14:paraId="6B91725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non eligible</w:t>
            </w:r>
          </w:p>
        </w:tc>
        <w:tc>
          <w:tcPr>
            <w:tcW w:w="248" w:type="dxa"/>
            <w:gridSpan w:val="2"/>
            <w:tcBorders>
              <w:top w:val="nil"/>
              <w:left w:val="nil"/>
              <w:bottom w:val="nil"/>
              <w:right w:val="single" w:sz="8" w:space="0" w:color="auto"/>
            </w:tcBorders>
            <w:shd w:val="clear" w:color="auto" w:fill="auto"/>
            <w:noWrap/>
            <w:vAlign w:val="bottom"/>
            <w:hideMark/>
          </w:tcPr>
          <w:p w14:paraId="45DB7D72"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x</w:t>
            </w:r>
          </w:p>
        </w:tc>
      </w:tr>
      <w:tr w:rsidR="005B1AC3" w:rsidRPr="00A07AD6" w14:paraId="47AA2A33" w14:textId="77777777" w:rsidTr="005B1AC3">
        <w:trPr>
          <w:gridAfter w:val="5"/>
          <w:wAfter w:w="837" w:type="dxa"/>
          <w:trHeight w:val="288"/>
        </w:trPr>
        <w:tc>
          <w:tcPr>
            <w:tcW w:w="460" w:type="dxa"/>
            <w:tcBorders>
              <w:top w:val="nil"/>
              <w:left w:val="single" w:sz="8" w:space="0" w:color="auto"/>
              <w:bottom w:val="nil"/>
              <w:right w:val="nil"/>
            </w:tcBorders>
            <w:shd w:val="clear" w:color="auto" w:fill="auto"/>
            <w:noWrap/>
            <w:vAlign w:val="bottom"/>
            <w:hideMark/>
          </w:tcPr>
          <w:p w14:paraId="0B7F24C6"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15</w:t>
            </w:r>
          </w:p>
        </w:tc>
        <w:tc>
          <w:tcPr>
            <w:tcW w:w="2339" w:type="dxa"/>
            <w:tcBorders>
              <w:top w:val="nil"/>
              <w:left w:val="nil"/>
              <w:bottom w:val="nil"/>
              <w:right w:val="nil"/>
            </w:tcBorders>
            <w:shd w:val="clear" w:color="auto" w:fill="auto"/>
            <w:noWrap/>
            <w:vAlign w:val="center"/>
            <w:hideMark/>
          </w:tcPr>
          <w:p w14:paraId="27B285D7" w14:textId="77777777" w:rsidR="00A07AD6" w:rsidRPr="00A07AD6" w:rsidRDefault="00A07AD6" w:rsidP="00DE14A5">
            <w:pPr>
              <w:tabs>
                <w:tab w:val="left" w:pos="1065"/>
              </w:tabs>
              <w:spacing w:after="0" w:line="240" w:lineRule="auto"/>
              <w:rPr>
                <w:rFonts w:eastAsia="Times New Roman" w:cs="Calibri"/>
                <w:color w:val="000000"/>
              </w:rPr>
            </w:pPr>
            <w:r w:rsidRPr="00A07AD6">
              <w:rPr>
                <w:rFonts w:eastAsia="Times New Roman" w:cs="Calibri"/>
                <w:color w:val="000000"/>
              </w:rPr>
              <w:t>Diös</w:t>
            </w:r>
          </w:p>
        </w:tc>
        <w:tc>
          <w:tcPr>
            <w:tcW w:w="246" w:type="dxa"/>
            <w:gridSpan w:val="3"/>
            <w:tcBorders>
              <w:top w:val="nil"/>
              <w:left w:val="nil"/>
              <w:bottom w:val="nil"/>
              <w:right w:val="nil"/>
            </w:tcBorders>
            <w:shd w:val="clear" w:color="auto" w:fill="auto"/>
            <w:noWrap/>
            <w:vAlign w:val="bottom"/>
            <w:hideMark/>
          </w:tcPr>
          <w:p w14:paraId="06C54EA5" w14:textId="77777777" w:rsidR="00A07AD6" w:rsidRPr="00A07AD6" w:rsidRDefault="00A07AD6" w:rsidP="00DE14A5">
            <w:pPr>
              <w:tabs>
                <w:tab w:val="left" w:pos="1065"/>
              </w:tabs>
              <w:spacing w:after="0" w:line="240" w:lineRule="auto"/>
              <w:ind w:left="412" w:firstLineChars="500" w:firstLine="1100"/>
              <w:rPr>
                <w:rFonts w:eastAsia="Times New Roman" w:cs="Calibri"/>
                <w:color w:val="000000"/>
              </w:rPr>
            </w:pPr>
          </w:p>
        </w:tc>
        <w:tc>
          <w:tcPr>
            <w:tcW w:w="317" w:type="dxa"/>
            <w:gridSpan w:val="5"/>
            <w:tcBorders>
              <w:top w:val="nil"/>
              <w:left w:val="nil"/>
              <w:bottom w:val="nil"/>
              <w:right w:val="nil"/>
            </w:tcBorders>
            <w:shd w:val="clear" w:color="auto" w:fill="auto"/>
            <w:noWrap/>
            <w:vAlign w:val="bottom"/>
            <w:hideMark/>
          </w:tcPr>
          <w:p w14:paraId="5A66B2A2" w14:textId="77777777" w:rsidR="00A07AD6" w:rsidRPr="00A07AD6" w:rsidRDefault="00A07AD6" w:rsidP="00A07AD6">
            <w:pPr>
              <w:spacing w:after="0" w:line="240" w:lineRule="auto"/>
              <w:rPr>
                <w:rFonts w:ascii="Times New Roman" w:eastAsia="Times New Roman" w:hAnsi="Times New Roman"/>
                <w:sz w:val="20"/>
                <w:szCs w:val="20"/>
              </w:rPr>
            </w:pPr>
          </w:p>
        </w:tc>
        <w:tc>
          <w:tcPr>
            <w:tcW w:w="329" w:type="dxa"/>
            <w:gridSpan w:val="6"/>
            <w:tcBorders>
              <w:top w:val="nil"/>
              <w:left w:val="nil"/>
              <w:bottom w:val="nil"/>
              <w:right w:val="nil"/>
            </w:tcBorders>
            <w:shd w:val="clear" w:color="auto" w:fill="auto"/>
            <w:noWrap/>
            <w:vAlign w:val="bottom"/>
            <w:hideMark/>
          </w:tcPr>
          <w:p w14:paraId="30DFCE83" w14:textId="77777777" w:rsidR="00A07AD6" w:rsidRPr="00A07AD6" w:rsidRDefault="00A07AD6" w:rsidP="00A07AD6">
            <w:pPr>
              <w:spacing w:after="0" w:line="240" w:lineRule="auto"/>
              <w:rPr>
                <w:rFonts w:ascii="Times New Roman" w:eastAsia="Times New Roman" w:hAnsi="Times New Roman"/>
                <w:sz w:val="20"/>
                <w:szCs w:val="20"/>
              </w:rPr>
            </w:pPr>
          </w:p>
        </w:tc>
        <w:tc>
          <w:tcPr>
            <w:tcW w:w="1100" w:type="dxa"/>
            <w:gridSpan w:val="8"/>
            <w:tcBorders>
              <w:top w:val="nil"/>
              <w:left w:val="nil"/>
              <w:bottom w:val="nil"/>
              <w:right w:val="nil"/>
            </w:tcBorders>
            <w:shd w:val="clear" w:color="auto" w:fill="auto"/>
            <w:noWrap/>
            <w:vAlign w:val="bottom"/>
            <w:hideMark/>
          </w:tcPr>
          <w:p w14:paraId="1502536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nov</w:t>
            </w:r>
          </w:p>
        </w:tc>
        <w:tc>
          <w:tcPr>
            <w:tcW w:w="1144" w:type="dxa"/>
            <w:gridSpan w:val="3"/>
            <w:tcBorders>
              <w:top w:val="nil"/>
              <w:left w:val="nil"/>
              <w:bottom w:val="nil"/>
              <w:right w:val="nil"/>
            </w:tcBorders>
            <w:shd w:val="clear" w:color="auto" w:fill="auto"/>
            <w:noWrap/>
            <w:vAlign w:val="bottom"/>
            <w:hideMark/>
          </w:tcPr>
          <w:p w14:paraId="1545774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excellent</w:t>
            </w:r>
          </w:p>
        </w:tc>
        <w:tc>
          <w:tcPr>
            <w:tcW w:w="1359" w:type="dxa"/>
            <w:gridSpan w:val="6"/>
            <w:tcBorders>
              <w:top w:val="nil"/>
              <w:left w:val="nil"/>
              <w:bottom w:val="nil"/>
              <w:right w:val="nil"/>
            </w:tcBorders>
            <w:shd w:val="clear" w:color="auto" w:fill="auto"/>
            <w:noWrap/>
            <w:vAlign w:val="bottom"/>
            <w:hideMark/>
          </w:tcPr>
          <w:p w14:paraId="24FD736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757" w:type="dxa"/>
            <w:gridSpan w:val="6"/>
            <w:tcBorders>
              <w:top w:val="nil"/>
              <w:left w:val="nil"/>
              <w:bottom w:val="nil"/>
              <w:right w:val="nil"/>
            </w:tcBorders>
            <w:shd w:val="clear" w:color="auto" w:fill="auto"/>
            <w:noWrap/>
            <w:vAlign w:val="bottom"/>
            <w:hideMark/>
          </w:tcPr>
          <w:p w14:paraId="2A40E80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xml:space="preserve">financing </w:t>
            </w:r>
          </w:p>
        </w:tc>
        <w:tc>
          <w:tcPr>
            <w:tcW w:w="1039" w:type="dxa"/>
            <w:gridSpan w:val="6"/>
            <w:tcBorders>
              <w:top w:val="nil"/>
              <w:left w:val="nil"/>
              <w:bottom w:val="nil"/>
              <w:right w:val="nil"/>
            </w:tcBorders>
            <w:shd w:val="clear" w:color="auto" w:fill="auto"/>
            <w:noWrap/>
            <w:vAlign w:val="bottom"/>
            <w:hideMark/>
          </w:tcPr>
          <w:p w14:paraId="1711EB1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likely aligned</w:t>
            </w:r>
          </w:p>
        </w:tc>
        <w:tc>
          <w:tcPr>
            <w:tcW w:w="248" w:type="dxa"/>
            <w:gridSpan w:val="2"/>
            <w:tcBorders>
              <w:top w:val="nil"/>
              <w:left w:val="nil"/>
              <w:bottom w:val="nil"/>
              <w:right w:val="single" w:sz="8" w:space="0" w:color="auto"/>
            </w:tcBorders>
            <w:shd w:val="clear" w:color="auto" w:fill="auto"/>
            <w:noWrap/>
            <w:vAlign w:val="bottom"/>
            <w:hideMark/>
          </w:tcPr>
          <w:p w14:paraId="2574EB69"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x</w:t>
            </w:r>
          </w:p>
        </w:tc>
      </w:tr>
      <w:tr w:rsidR="005B1AC3" w:rsidRPr="00A07AD6" w14:paraId="0C00CE18" w14:textId="77777777" w:rsidTr="005B1AC3">
        <w:trPr>
          <w:gridAfter w:val="1"/>
          <w:wAfter w:w="143" w:type="dxa"/>
          <w:trHeight w:val="288"/>
        </w:trPr>
        <w:tc>
          <w:tcPr>
            <w:tcW w:w="460" w:type="dxa"/>
            <w:tcBorders>
              <w:top w:val="nil"/>
              <w:left w:val="single" w:sz="8" w:space="0" w:color="auto"/>
              <w:bottom w:val="nil"/>
              <w:right w:val="nil"/>
            </w:tcBorders>
            <w:shd w:val="clear" w:color="auto" w:fill="auto"/>
            <w:noWrap/>
            <w:vAlign w:val="bottom"/>
            <w:hideMark/>
          </w:tcPr>
          <w:p w14:paraId="3ED95D6E"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16</w:t>
            </w:r>
          </w:p>
        </w:tc>
        <w:tc>
          <w:tcPr>
            <w:tcW w:w="2740" w:type="dxa"/>
            <w:gridSpan w:val="5"/>
            <w:tcBorders>
              <w:top w:val="nil"/>
              <w:left w:val="nil"/>
              <w:bottom w:val="nil"/>
              <w:right w:val="nil"/>
            </w:tcBorders>
            <w:shd w:val="clear" w:color="auto" w:fill="auto"/>
            <w:noWrap/>
            <w:vAlign w:val="center"/>
            <w:hideMark/>
          </w:tcPr>
          <w:p w14:paraId="33E22159" w14:textId="77777777" w:rsidR="00A07AD6" w:rsidRPr="00A07AD6" w:rsidRDefault="00A07AD6" w:rsidP="00DE14A5">
            <w:pPr>
              <w:tabs>
                <w:tab w:val="left" w:pos="1065"/>
              </w:tabs>
              <w:spacing w:after="0" w:line="240" w:lineRule="auto"/>
              <w:ind w:left="-14"/>
              <w:rPr>
                <w:rFonts w:eastAsia="Times New Roman" w:cs="Calibri"/>
                <w:color w:val="000000"/>
              </w:rPr>
            </w:pPr>
            <w:r w:rsidRPr="00A07AD6">
              <w:rPr>
                <w:rFonts w:eastAsia="Times New Roman" w:cs="Calibri"/>
                <w:color w:val="000000"/>
              </w:rPr>
              <w:t>Heba Fastigheter AB</w:t>
            </w:r>
          </w:p>
        </w:tc>
        <w:tc>
          <w:tcPr>
            <w:tcW w:w="272" w:type="dxa"/>
            <w:gridSpan w:val="5"/>
            <w:tcBorders>
              <w:top w:val="nil"/>
              <w:left w:val="nil"/>
              <w:bottom w:val="nil"/>
              <w:right w:val="nil"/>
            </w:tcBorders>
            <w:shd w:val="clear" w:color="auto" w:fill="auto"/>
            <w:noWrap/>
            <w:vAlign w:val="bottom"/>
            <w:hideMark/>
          </w:tcPr>
          <w:p w14:paraId="05262BC0" w14:textId="77777777" w:rsidR="00A07AD6" w:rsidRPr="00A07AD6" w:rsidRDefault="00A07AD6" w:rsidP="00A07AD6">
            <w:pPr>
              <w:spacing w:after="0" w:line="240" w:lineRule="auto"/>
              <w:ind w:firstLineChars="500" w:firstLine="1100"/>
              <w:rPr>
                <w:rFonts w:eastAsia="Times New Roman" w:cs="Calibri"/>
                <w:color w:val="000000"/>
              </w:rPr>
            </w:pPr>
          </w:p>
        </w:tc>
        <w:tc>
          <w:tcPr>
            <w:tcW w:w="953" w:type="dxa"/>
            <w:gridSpan w:val="8"/>
            <w:tcBorders>
              <w:top w:val="nil"/>
              <w:left w:val="nil"/>
              <w:bottom w:val="nil"/>
              <w:right w:val="nil"/>
            </w:tcBorders>
            <w:shd w:val="clear" w:color="auto" w:fill="auto"/>
            <w:noWrap/>
            <w:vAlign w:val="bottom"/>
            <w:hideMark/>
          </w:tcPr>
          <w:p w14:paraId="2469251E"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january</w:t>
            </w:r>
          </w:p>
        </w:tc>
        <w:tc>
          <w:tcPr>
            <w:tcW w:w="1733" w:type="dxa"/>
            <w:gridSpan w:val="9"/>
            <w:tcBorders>
              <w:top w:val="nil"/>
              <w:left w:val="nil"/>
              <w:bottom w:val="nil"/>
              <w:right w:val="nil"/>
            </w:tcBorders>
            <w:shd w:val="clear" w:color="auto" w:fill="auto"/>
            <w:noWrap/>
            <w:vAlign w:val="bottom"/>
            <w:hideMark/>
          </w:tcPr>
          <w:p w14:paraId="70C1A47F"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excellent</w:t>
            </w:r>
          </w:p>
        </w:tc>
        <w:tc>
          <w:tcPr>
            <w:tcW w:w="1577" w:type="dxa"/>
            <w:gridSpan w:val="7"/>
            <w:tcBorders>
              <w:top w:val="nil"/>
              <w:left w:val="nil"/>
              <w:bottom w:val="nil"/>
              <w:right w:val="nil"/>
            </w:tcBorders>
            <w:shd w:val="clear" w:color="auto" w:fill="auto"/>
            <w:noWrap/>
            <w:vAlign w:val="bottom"/>
            <w:hideMark/>
          </w:tcPr>
          <w:p w14:paraId="4FD0899B"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441" w:type="dxa"/>
            <w:gridSpan w:val="7"/>
            <w:tcBorders>
              <w:top w:val="nil"/>
              <w:left w:val="nil"/>
              <w:bottom w:val="nil"/>
              <w:right w:val="nil"/>
            </w:tcBorders>
            <w:shd w:val="clear" w:color="auto" w:fill="auto"/>
            <w:noWrap/>
            <w:vAlign w:val="bottom"/>
            <w:hideMark/>
          </w:tcPr>
          <w:p w14:paraId="0E3BE7B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496" w:type="dxa"/>
            <w:gridSpan w:val="7"/>
            <w:tcBorders>
              <w:top w:val="nil"/>
              <w:left w:val="nil"/>
              <w:bottom w:val="nil"/>
              <w:right w:val="nil"/>
            </w:tcBorders>
            <w:shd w:val="clear" w:color="auto" w:fill="auto"/>
            <w:noWrap/>
            <w:vAlign w:val="bottom"/>
            <w:hideMark/>
          </w:tcPr>
          <w:p w14:paraId="2B33FF64"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360" w:type="dxa"/>
            <w:gridSpan w:val="2"/>
            <w:tcBorders>
              <w:top w:val="nil"/>
              <w:left w:val="nil"/>
              <w:bottom w:val="nil"/>
              <w:right w:val="single" w:sz="8" w:space="0" w:color="auto"/>
            </w:tcBorders>
            <w:shd w:val="clear" w:color="auto" w:fill="auto"/>
            <w:noWrap/>
            <w:vAlign w:val="bottom"/>
            <w:hideMark/>
          </w:tcPr>
          <w:p w14:paraId="04D9588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229CBDE6" w14:textId="77777777" w:rsidTr="005B1AC3">
        <w:trPr>
          <w:gridAfter w:val="1"/>
          <w:wAfter w:w="143" w:type="dxa"/>
          <w:trHeight w:val="288"/>
        </w:trPr>
        <w:tc>
          <w:tcPr>
            <w:tcW w:w="460" w:type="dxa"/>
            <w:tcBorders>
              <w:top w:val="nil"/>
              <w:left w:val="single" w:sz="8" w:space="0" w:color="auto"/>
              <w:bottom w:val="nil"/>
              <w:right w:val="nil"/>
            </w:tcBorders>
            <w:shd w:val="clear" w:color="auto" w:fill="auto"/>
            <w:noWrap/>
            <w:vAlign w:val="bottom"/>
            <w:hideMark/>
          </w:tcPr>
          <w:p w14:paraId="2132164F"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17</w:t>
            </w:r>
          </w:p>
        </w:tc>
        <w:tc>
          <w:tcPr>
            <w:tcW w:w="2339" w:type="dxa"/>
            <w:tcBorders>
              <w:top w:val="nil"/>
              <w:left w:val="nil"/>
              <w:bottom w:val="nil"/>
              <w:right w:val="nil"/>
            </w:tcBorders>
            <w:shd w:val="clear" w:color="auto" w:fill="auto"/>
            <w:noWrap/>
            <w:vAlign w:val="center"/>
            <w:hideMark/>
          </w:tcPr>
          <w:p w14:paraId="198E9909" w14:textId="77777777" w:rsidR="00A07AD6" w:rsidRPr="00A07AD6" w:rsidRDefault="00A07AD6" w:rsidP="00DE14A5">
            <w:pPr>
              <w:tabs>
                <w:tab w:val="left" w:pos="1065"/>
              </w:tabs>
              <w:spacing w:after="0" w:line="240" w:lineRule="auto"/>
              <w:rPr>
                <w:rFonts w:eastAsia="Times New Roman" w:cs="Calibri"/>
                <w:color w:val="000000"/>
              </w:rPr>
            </w:pPr>
            <w:r w:rsidRPr="00A07AD6">
              <w:rPr>
                <w:rFonts w:eastAsia="Times New Roman" w:cs="Calibri"/>
                <w:color w:val="000000"/>
              </w:rPr>
              <w:t>Willhem</w:t>
            </w:r>
          </w:p>
        </w:tc>
        <w:tc>
          <w:tcPr>
            <w:tcW w:w="408" w:type="dxa"/>
            <w:gridSpan w:val="5"/>
            <w:tcBorders>
              <w:top w:val="nil"/>
              <w:left w:val="nil"/>
              <w:bottom w:val="nil"/>
              <w:right w:val="nil"/>
            </w:tcBorders>
            <w:shd w:val="clear" w:color="auto" w:fill="auto"/>
            <w:noWrap/>
            <w:vAlign w:val="bottom"/>
            <w:hideMark/>
          </w:tcPr>
          <w:p w14:paraId="0E91BAED" w14:textId="77777777" w:rsidR="00A07AD6" w:rsidRPr="00A07AD6" w:rsidRDefault="00A07AD6" w:rsidP="00A07AD6">
            <w:pPr>
              <w:spacing w:after="0" w:line="240" w:lineRule="auto"/>
              <w:ind w:firstLineChars="500" w:firstLine="1100"/>
              <w:rPr>
                <w:rFonts w:eastAsia="Times New Roman" w:cs="Calibri"/>
                <w:color w:val="000000"/>
              </w:rPr>
            </w:pPr>
          </w:p>
        </w:tc>
        <w:tc>
          <w:tcPr>
            <w:tcW w:w="271" w:type="dxa"/>
            <w:gridSpan w:val="5"/>
            <w:tcBorders>
              <w:top w:val="nil"/>
              <w:left w:val="nil"/>
              <w:bottom w:val="nil"/>
              <w:right w:val="nil"/>
            </w:tcBorders>
            <w:shd w:val="clear" w:color="auto" w:fill="auto"/>
            <w:noWrap/>
            <w:vAlign w:val="bottom"/>
            <w:hideMark/>
          </w:tcPr>
          <w:p w14:paraId="07BCC29C" w14:textId="77777777" w:rsidR="00A07AD6" w:rsidRPr="00A07AD6" w:rsidRDefault="00A07AD6" w:rsidP="00A07AD6">
            <w:pPr>
              <w:spacing w:after="0" w:line="240" w:lineRule="auto"/>
              <w:rPr>
                <w:rFonts w:ascii="Times New Roman" w:eastAsia="Times New Roman" w:hAnsi="Times New Roman"/>
                <w:sz w:val="20"/>
                <w:szCs w:val="20"/>
              </w:rPr>
            </w:pPr>
          </w:p>
        </w:tc>
        <w:tc>
          <w:tcPr>
            <w:tcW w:w="953" w:type="dxa"/>
            <w:gridSpan w:val="8"/>
            <w:tcBorders>
              <w:top w:val="nil"/>
              <w:left w:val="nil"/>
              <w:bottom w:val="nil"/>
              <w:right w:val="nil"/>
            </w:tcBorders>
            <w:shd w:val="clear" w:color="auto" w:fill="auto"/>
            <w:noWrap/>
            <w:vAlign w:val="bottom"/>
            <w:hideMark/>
          </w:tcPr>
          <w:p w14:paraId="6F828A19" w14:textId="1231ECF8" w:rsidR="00A07AD6" w:rsidRPr="00A07AD6" w:rsidRDefault="00BF50C4" w:rsidP="00A07AD6">
            <w:pPr>
              <w:spacing w:after="0" w:line="240" w:lineRule="auto"/>
              <w:rPr>
                <w:rFonts w:eastAsia="Times New Roman" w:cs="Calibri"/>
                <w:color w:val="000000"/>
              </w:rPr>
            </w:pPr>
            <w:r w:rsidRPr="00A07AD6">
              <w:rPr>
                <w:rFonts w:eastAsia="Times New Roman" w:cs="Calibri"/>
                <w:color w:val="000000"/>
              </w:rPr>
              <w:t>S</w:t>
            </w:r>
            <w:r w:rsidR="00A07AD6" w:rsidRPr="00A07AD6">
              <w:rPr>
                <w:rFonts w:eastAsia="Times New Roman" w:cs="Calibri"/>
                <w:color w:val="000000"/>
              </w:rPr>
              <w:t>ept</w:t>
            </w:r>
          </w:p>
        </w:tc>
        <w:tc>
          <w:tcPr>
            <w:tcW w:w="1736" w:type="dxa"/>
            <w:gridSpan w:val="9"/>
            <w:tcBorders>
              <w:top w:val="nil"/>
              <w:left w:val="nil"/>
              <w:bottom w:val="nil"/>
              <w:right w:val="nil"/>
            </w:tcBorders>
            <w:shd w:val="clear" w:color="auto" w:fill="auto"/>
            <w:noWrap/>
            <w:vAlign w:val="bottom"/>
            <w:hideMark/>
          </w:tcPr>
          <w:p w14:paraId="7DF8E07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excellent</w:t>
            </w:r>
          </w:p>
        </w:tc>
        <w:tc>
          <w:tcPr>
            <w:tcW w:w="1577" w:type="dxa"/>
            <w:gridSpan w:val="7"/>
            <w:tcBorders>
              <w:top w:val="nil"/>
              <w:left w:val="nil"/>
              <w:bottom w:val="nil"/>
              <w:right w:val="nil"/>
            </w:tcBorders>
            <w:shd w:val="clear" w:color="auto" w:fill="auto"/>
            <w:noWrap/>
            <w:vAlign w:val="bottom"/>
            <w:hideMark/>
          </w:tcPr>
          <w:p w14:paraId="4FC7E09D"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448" w:type="dxa"/>
            <w:gridSpan w:val="7"/>
            <w:tcBorders>
              <w:top w:val="nil"/>
              <w:left w:val="nil"/>
              <w:bottom w:val="nil"/>
              <w:right w:val="nil"/>
            </w:tcBorders>
            <w:shd w:val="clear" w:color="auto" w:fill="auto"/>
            <w:noWrap/>
            <w:vAlign w:val="bottom"/>
            <w:hideMark/>
          </w:tcPr>
          <w:p w14:paraId="4200C778"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bonds</w:t>
            </w:r>
          </w:p>
        </w:tc>
        <w:tc>
          <w:tcPr>
            <w:tcW w:w="1480" w:type="dxa"/>
            <w:gridSpan w:val="6"/>
            <w:tcBorders>
              <w:top w:val="nil"/>
              <w:left w:val="nil"/>
              <w:bottom w:val="nil"/>
              <w:right w:val="nil"/>
            </w:tcBorders>
            <w:shd w:val="clear" w:color="auto" w:fill="auto"/>
            <w:noWrap/>
            <w:vAlign w:val="bottom"/>
            <w:hideMark/>
          </w:tcPr>
          <w:p w14:paraId="32F117AB"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360" w:type="dxa"/>
            <w:gridSpan w:val="2"/>
            <w:tcBorders>
              <w:top w:val="nil"/>
              <w:left w:val="nil"/>
              <w:bottom w:val="nil"/>
              <w:right w:val="single" w:sz="8" w:space="0" w:color="auto"/>
            </w:tcBorders>
            <w:shd w:val="clear" w:color="auto" w:fill="auto"/>
            <w:noWrap/>
            <w:vAlign w:val="bottom"/>
            <w:hideMark/>
          </w:tcPr>
          <w:p w14:paraId="6625C32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70824C66" w14:textId="77777777" w:rsidTr="005B1AC3">
        <w:trPr>
          <w:gridAfter w:val="5"/>
          <w:wAfter w:w="837" w:type="dxa"/>
          <w:trHeight w:val="288"/>
        </w:trPr>
        <w:tc>
          <w:tcPr>
            <w:tcW w:w="460" w:type="dxa"/>
            <w:tcBorders>
              <w:top w:val="nil"/>
              <w:left w:val="single" w:sz="8" w:space="0" w:color="auto"/>
              <w:bottom w:val="nil"/>
              <w:right w:val="nil"/>
            </w:tcBorders>
            <w:shd w:val="clear" w:color="auto" w:fill="auto"/>
            <w:noWrap/>
            <w:vAlign w:val="bottom"/>
            <w:hideMark/>
          </w:tcPr>
          <w:p w14:paraId="23D5EE0C"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18</w:t>
            </w:r>
          </w:p>
        </w:tc>
        <w:tc>
          <w:tcPr>
            <w:tcW w:w="2339" w:type="dxa"/>
            <w:tcBorders>
              <w:top w:val="nil"/>
              <w:left w:val="nil"/>
              <w:bottom w:val="nil"/>
              <w:right w:val="nil"/>
            </w:tcBorders>
            <w:shd w:val="clear" w:color="auto" w:fill="auto"/>
            <w:noWrap/>
            <w:vAlign w:val="center"/>
            <w:hideMark/>
          </w:tcPr>
          <w:p w14:paraId="611A0425" w14:textId="77777777" w:rsidR="00A07AD6" w:rsidRPr="00A07AD6" w:rsidRDefault="00A07AD6" w:rsidP="00DE14A5">
            <w:pPr>
              <w:tabs>
                <w:tab w:val="left" w:pos="1065"/>
              </w:tabs>
              <w:spacing w:after="0" w:line="240" w:lineRule="auto"/>
              <w:rPr>
                <w:rFonts w:eastAsia="Times New Roman" w:cs="Calibri"/>
                <w:color w:val="000000"/>
              </w:rPr>
            </w:pPr>
            <w:r w:rsidRPr="00A07AD6">
              <w:rPr>
                <w:rFonts w:eastAsia="Times New Roman" w:cs="Calibri"/>
                <w:color w:val="000000"/>
              </w:rPr>
              <w:t>Catena</w:t>
            </w:r>
          </w:p>
        </w:tc>
        <w:tc>
          <w:tcPr>
            <w:tcW w:w="246" w:type="dxa"/>
            <w:gridSpan w:val="3"/>
            <w:tcBorders>
              <w:top w:val="nil"/>
              <w:left w:val="nil"/>
              <w:bottom w:val="nil"/>
              <w:right w:val="nil"/>
            </w:tcBorders>
            <w:shd w:val="clear" w:color="auto" w:fill="auto"/>
            <w:noWrap/>
            <w:vAlign w:val="bottom"/>
            <w:hideMark/>
          </w:tcPr>
          <w:p w14:paraId="3E1DEBB7" w14:textId="77777777" w:rsidR="00A07AD6" w:rsidRPr="00A07AD6" w:rsidRDefault="00A07AD6" w:rsidP="00DE14A5">
            <w:pPr>
              <w:tabs>
                <w:tab w:val="left" w:pos="1065"/>
              </w:tabs>
              <w:spacing w:after="0" w:line="240" w:lineRule="auto"/>
              <w:ind w:left="412" w:firstLineChars="500" w:firstLine="1100"/>
              <w:rPr>
                <w:rFonts w:eastAsia="Times New Roman" w:cs="Calibri"/>
                <w:color w:val="000000"/>
              </w:rPr>
            </w:pPr>
          </w:p>
        </w:tc>
        <w:tc>
          <w:tcPr>
            <w:tcW w:w="317" w:type="dxa"/>
            <w:gridSpan w:val="5"/>
            <w:tcBorders>
              <w:top w:val="nil"/>
              <w:left w:val="nil"/>
              <w:bottom w:val="nil"/>
              <w:right w:val="nil"/>
            </w:tcBorders>
            <w:shd w:val="clear" w:color="auto" w:fill="auto"/>
            <w:noWrap/>
            <w:vAlign w:val="bottom"/>
            <w:hideMark/>
          </w:tcPr>
          <w:p w14:paraId="1CE89104" w14:textId="77777777" w:rsidR="00A07AD6" w:rsidRPr="00A07AD6" w:rsidRDefault="00A07AD6" w:rsidP="00A07AD6">
            <w:pPr>
              <w:spacing w:after="0" w:line="240" w:lineRule="auto"/>
              <w:rPr>
                <w:rFonts w:ascii="Times New Roman" w:eastAsia="Times New Roman" w:hAnsi="Times New Roman"/>
                <w:sz w:val="20"/>
                <w:szCs w:val="20"/>
              </w:rPr>
            </w:pPr>
          </w:p>
        </w:tc>
        <w:tc>
          <w:tcPr>
            <w:tcW w:w="329" w:type="dxa"/>
            <w:gridSpan w:val="6"/>
            <w:tcBorders>
              <w:top w:val="nil"/>
              <w:left w:val="nil"/>
              <w:bottom w:val="nil"/>
              <w:right w:val="nil"/>
            </w:tcBorders>
            <w:shd w:val="clear" w:color="auto" w:fill="auto"/>
            <w:noWrap/>
            <w:vAlign w:val="bottom"/>
            <w:hideMark/>
          </w:tcPr>
          <w:p w14:paraId="21100F83" w14:textId="77777777" w:rsidR="00A07AD6" w:rsidRPr="00A07AD6" w:rsidRDefault="00A07AD6" w:rsidP="00A07AD6">
            <w:pPr>
              <w:spacing w:after="0" w:line="240" w:lineRule="auto"/>
              <w:rPr>
                <w:rFonts w:ascii="Times New Roman" w:eastAsia="Times New Roman" w:hAnsi="Times New Roman"/>
                <w:sz w:val="20"/>
                <w:szCs w:val="20"/>
              </w:rPr>
            </w:pPr>
          </w:p>
        </w:tc>
        <w:tc>
          <w:tcPr>
            <w:tcW w:w="1100" w:type="dxa"/>
            <w:gridSpan w:val="8"/>
            <w:tcBorders>
              <w:top w:val="nil"/>
              <w:left w:val="nil"/>
              <w:bottom w:val="nil"/>
              <w:right w:val="nil"/>
            </w:tcBorders>
            <w:shd w:val="clear" w:color="auto" w:fill="auto"/>
            <w:noWrap/>
            <w:vAlign w:val="bottom"/>
            <w:hideMark/>
          </w:tcPr>
          <w:p w14:paraId="002FCBE4"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april</w:t>
            </w:r>
          </w:p>
        </w:tc>
        <w:tc>
          <w:tcPr>
            <w:tcW w:w="1144" w:type="dxa"/>
            <w:gridSpan w:val="3"/>
            <w:tcBorders>
              <w:top w:val="nil"/>
              <w:left w:val="nil"/>
              <w:bottom w:val="nil"/>
              <w:right w:val="nil"/>
            </w:tcBorders>
            <w:shd w:val="clear" w:color="auto" w:fill="auto"/>
            <w:noWrap/>
            <w:vAlign w:val="bottom"/>
            <w:hideMark/>
          </w:tcPr>
          <w:p w14:paraId="44AD9F41"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excellent</w:t>
            </w:r>
          </w:p>
        </w:tc>
        <w:tc>
          <w:tcPr>
            <w:tcW w:w="1359" w:type="dxa"/>
            <w:gridSpan w:val="6"/>
            <w:tcBorders>
              <w:top w:val="nil"/>
              <w:left w:val="nil"/>
              <w:bottom w:val="nil"/>
              <w:right w:val="nil"/>
            </w:tcBorders>
            <w:shd w:val="clear" w:color="auto" w:fill="auto"/>
            <w:noWrap/>
            <w:vAlign w:val="bottom"/>
            <w:hideMark/>
          </w:tcPr>
          <w:p w14:paraId="53C347A5"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medium</w:t>
            </w:r>
          </w:p>
        </w:tc>
        <w:tc>
          <w:tcPr>
            <w:tcW w:w="1757" w:type="dxa"/>
            <w:gridSpan w:val="6"/>
            <w:tcBorders>
              <w:top w:val="nil"/>
              <w:left w:val="nil"/>
              <w:bottom w:val="nil"/>
              <w:right w:val="nil"/>
            </w:tcBorders>
            <w:shd w:val="clear" w:color="auto" w:fill="auto"/>
            <w:noWrap/>
            <w:vAlign w:val="bottom"/>
            <w:hideMark/>
          </w:tcPr>
          <w:p w14:paraId="05A074AA"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Green finance</w:t>
            </w:r>
          </w:p>
        </w:tc>
        <w:tc>
          <w:tcPr>
            <w:tcW w:w="1039" w:type="dxa"/>
            <w:gridSpan w:val="6"/>
            <w:tcBorders>
              <w:top w:val="nil"/>
              <w:left w:val="nil"/>
              <w:bottom w:val="nil"/>
              <w:right w:val="nil"/>
            </w:tcBorders>
            <w:shd w:val="clear" w:color="auto" w:fill="auto"/>
            <w:noWrap/>
            <w:vAlign w:val="bottom"/>
            <w:hideMark/>
          </w:tcPr>
          <w:p w14:paraId="77A84A90"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not assessed</w:t>
            </w:r>
          </w:p>
        </w:tc>
        <w:tc>
          <w:tcPr>
            <w:tcW w:w="248" w:type="dxa"/>
            <w:gridSpan w:val="2"/>
            <w:tcBorders>
              <w:top w:val="nil"/>
              <w:left w:val="nil"/>
              <w:bottom w:val="nil"/>
              <w:right w:val="single" w:sz="8" w:space="0" w:color="auto"/>
            </w:tcBorders>
            <w:shd w:val="clear" w:color="auto" w:fill="auto"/>
            <w:noWrap/>
            <w:vAlign w:val="bottom"/>
            <w:hideMark/>
          </w:tcPr>
          <w:p w14:paraId="0E4167FB"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r>
      <w:tr w:rsidR="005B1AC3" w:rsidRPr="00A07AD6" w14:paraId="324A1C27" w14:textId="77777777" w:rsidTr="005B1AC3">
        <w:trPr>
          <w:gridAfter w:val="1"/>
          <w:wAfter w:w="143" w:type="dxa"/>
          <w:trHeight w:val="300"/>
        </w:trPr>
        <w:tc>
          <w:tcPr>
            <w:tcW w:w="460" w:type="dxa"/>
            <w:tcBorders>
              <w:top w:val="nil"/>
              <w:left w:val="single" w:sz="8" w:space="0" w:color="auto"/>
              <w:bottom w:val="single" w:sz="8" w:space="0" w:color="auto"/>
              <w:right w:val="nil"/>
            </w:tcBorders>
            <w:shd w:val="clear" w:color="auto" w:fill="auto"/>
            <w:noWrap/>
            <w:vAlign w:val="bottom"/>
            <w:hideMark/>
          </w:tcPr>
          <w:p w14:paraId="4ADCAF99" w14:textId="77777777" w:rsidR="00A07AD6" w:rsidRPr="00A07AD6" w:rsidRDefault="00A07AD6" w:rsidP="00A07AD6">
            <w:pPr>
              <w:spacing w:after="0" w:line="240" w:lineRule="auto"/>
              <w:jc w:val="right"/>
              <w:rPr>
                <w:rFonts w:eastAsia="Times New Roman" w:cs="Calibri"/>
                <w:color w:val="000000"/>
              </w:rPr>
            </w:pPr>
            <w:r w:rsidRPr="00A07AD6">
              <w:rPr>
                <w:rFonts w:eastAsia="Times New Roman" w:cs="Calibri"/>
                <w:color w:val="000000"/>
              </w:rPr>
              <w:t>19</w:t>
            </w:r>
          </w:p>
        </w:tc>
        <w:tc>
          <w:tcPr>
            <w:tcW w:w="2339" w:type="dxa"/>
            <w:tcBorders>
              <w:top w:val="nil"/>
              <w:left w:val="nil"/>
              <w:bottom w:val="single" w:sz="8" w:space="0" w:color="auto"/>
              <w:right w:val="nil"/>
            </w:tcBorders>
            <w:shd w:val="clear" w:color="auto" w:fill="auto"/>
            <w:noWrap/>
            <w:vAlign w:val="center"/>
            <w:hideMark/>
          </w:tcPr>
          <w:p w14:paraId="0F494EBC" w14:textId="77777777" w:rsidR="00A07AD6" w:rsidRPr="00A07AD6" w:rsidRDefault="00A07AD6" w:rsidP="00DE14A5">
            <w:pPr>
              <w:tabs>
                <w:tab w:val="left" w:pos="1065"/>
              </w:tabs>
              <w:spacing w:after="0" w:line="240" w:lineRule="auto"/>
              <w:ind w:left="-14" w:right="1028" w:firstLine="14"/>
              <w:rPr>
                <w:rFonts w:eastAsia="Times New Roman" w:cs="Calibri"/>
                <w:color w:val="000000"/>
              </w:rPr>
            </w:pPr>
            <w:r w:rsidRPr="00A07AD6">
              <w:rPr>
                <w:rFonts w:eastAsia="Times New Roman" w:cs="Calibri"/>
                <w:color w:val="000000"/>
              </w:rPr>
              <w:t xml:space="preserve">Magnolia </w:t>
            </w:r>
          </w:p>
        </w:tc>
        <w:tc>
          <w:tcPr>
            <w:tcW w:w="408" w:type="dxa"/>
            <w:gridSpan w:val="5"/>
            <w:tcBorders>
              <w:top w:val="nil"/>
              <w:left w:val="nil"/>
              <w:bottom w:val="single" w:sz="8" w:space="0" w:color="auto"/>
              <w:right w:val="nil"/>
            </w:tcBorders>
            <w:shd w:val="clear" w:color="auto" w:fill="auto"/>
            <w:noWrap/>
            <w:vAlign w:val="bottom"/>
            <w:hideMark/>
          </w:tcPr>
          <w:p w14:paraId="0A5E471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271" w:type="dxa"/>
            <w:gridSpan w:val="5"/>
            <w:tcBorders>
              <w:top w:val="nil"/>
              <w:left w:val="nil"/>
              <w:bottom w:val="single" w:sz="8" w:space="0" w:color="auto"/>
              <w:right w:val="nil"/>
            </w:tcBorders>
            <w:shd w:val="clear" w:color="auto" w:fill="auto"/>
            <w:noWrap/>
            <w:vAlign w:val="bottom"/>
            <w:hideMark/>
          </w:tcPr>
          <w:p w14:paraId="5DD9C0BA"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953" w:type="dxa"/>
            <w:gridSpan w:val="8"/>
            <w:tcBorders>
              <w:top w:val="nil"/>
              <w:left w:val="nil"/>
              <w:bottom w:val="single" w:sz="8" w:space="0" w:color="auto"/>
              <w:right w:val="nil"/>
            </w:tcBorders>
            <w:shd w:val="clear" w:color="auto" w:fill="auto"/>
            <w:noWrap/>
            <w:vAlign w:val="bottom"/>
            <w:hideMark/>
          </w:tcPr>
          <w:p w14:paraId="05C38015" w14:textId="19C47B80" w:rsidR="00A07AD6" w:rsidRPr="00A07AD6" w:rsidRDefault="00BF50C4" w:rsidP="00A07AD6">
            <w:pPr>
              <w:spacing w:after="0" w:line="240" w:lineRule="auto"/>
              <w:rPr>
                <w:rFonts w:eastAsia="Times New Roman" w:cs="Calibri"/>
                <w:color w:val="000000"/>
              </w:rPr>
            </w:pPr>
            <w:r>
              <w:rPr>
                <w:rFonts w:eastAsia="Times New Roman" w:cs="Calibri"/>
                <w:color w:val="000000"/>
              </w:rPr>
              <w:t>June</w:t>
            </w:r>
          </w:p>
        </w:tc>
        <w:tc>
          <w:tcPr>
            <w:tcW w:w="1736" w:type="dxa"/>
            <w:gridSpan w:val="9"/>
            <w:tcBorders>
              <w:top w:val="nil"/>
              <w:left w:val="nil"/>
              <w:bottom w:val="single" w:sz="8" w:space="0" w:color="auto"/>
              <w:right w:val="nil"/>
            </w:tcBorders>
            <w:shd w:val="clear" w:color="auto" w:fill="auto"/>
            <w:noWrap/>
            <w:vAlign w:val="bottom"/>
            <w:hideMark/>
          </w:tcPr>
          <w:p w14:paraId="3815574F"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Nasdaq</w:t>
            </w:r>
          </w:p>
        </w:tc>
        <w:tc>
          <w:tcPr>
            <w:tcW w:w="1577" w:type="dxa"/>
            <w:gridSpan w:val="7"/>
            <w:tcBorders>
              <w:top w:val="nil"/>
              <w:left w:val="nil"/>
              <w:bottom w:val="single" w:sz="8" w:space="0" w:color="auto"/>
              <w:right w:val="nil"/>
            </w:tcBorders>
            <w:shd w:val="clear" w:color="auto" w:fill="auto"/>
            <w:noWrap/>
            <w:vAlign w:val="bottom"/>
            <w:hideMark/>
          </w:tcPr>
          <w:p w14:paraId="25C33596"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 </w:t>
            </w:r>
          </w:p>
        </w:tc>
        <w:tc>
          <w:tcPr>
            <w:tcW w:w="1448" w:type="dxa"/>
            <w:gridSpan w:val="7"/>
            <w:tcBorders>
              <w:top w:val="nil"/>
              <w:left w:val="nil"/>
              <w:bottom w:val="single" w:sz="8" w:space="0" w:color="auto"/>
              <w:right w:val="nil"/>
            </w:tcBorders>
            <w:shd w:val="clear" w:color="auto" w:fill="auto"/>
            <w:noWrap/>
            <w:vAlign w:val="bottom"/>
            <w:hideMark/>
          </w:tcPr>
          <w:p w14:paraId="4CEB84B2"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company</w:t>
            </w:r>
          </w:p>
        </w:tc>
        <w:tc>
          <w:tcPr>
            <w:tcW w:w="1480" w:type="dxa"/>
            <w:gridSpan w:val="6"/>
            <w:tcBorders>
              <w:top w:val="nil"/>
              <w:left w:val="nil"/>
              <w:bottom w:val="single" w:sz="8" w:space="0" w:color="auto"/>
              <w:right w:val="nil"/>
            </w:tcBorders>
            <w:shd w:val="clear" w:color="auto" w:fill="auto"/>
            <w:noWrap/>
            <w:vAlign w:val="bottom"/>
            <w:hideMark/>
          </w:tcPr>
          <w:p w14:paraId="024E8C44"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likely aligned</w:t>
            </w:r>
          </w:p>
        </w:tc>
        <w:tc>
          <w:tcPr>
            <w:tcW w:w="360" w:type="dxa"/>
            <w:gridSpan w:val="2"/>
            <w:tcBorders>
              <w:top w:val="nil"/>
              <w:left w:val="nil"/>
              <w:bottom w:val="single" w:sz="8" w:space="0" w:color="auto"/>
              <w:right w:val="single" w:sz="8" w:space="0" w:color="auto"/>
            </w:tcBorders>
            <w:shd w:val="clear" w:color="auto" w:fill="auto"/>
            <w:noWrap/>
            <w:vAlign w:val="bottom"/>
            <w:hideMark/>
          </w:tcPr>
          <w:p w14:paraId="1A67B9E3" w14:textId="77777777" w:rsidR="00A07AD6" w:rsidRPr="00A07AD6" w:rsidRDefault="00A07AD6" w:rsidP="00A07AD6">
            <w:pPr>
              <w:spacing w:after="0" w:line="240" w:lineRule="auto"/>
              <w:rPr>
                <w:rFonts w:eastAsia="Times New Roman" w:cs="Calibri"/>
                <w:color w:val="000000"/>
              </w:rPr>
            </w:pPr>
            <w:r w:rsidRPr="00A07AD6">
              <w:rPr>
                <w:rFonts w:eastAsia="Times New Roman" w:cs="Calibri"/>
                <w:color w:val="000000"/>
              </w:rPr>
              <w:t>x</w:t>
            </w:r>
          </w:p>
        </w:tc>
      </w:tr>
    </w:tbl>
    <w:p w14:paraId="4150F3EE" w14:textId="21C2A13D" w:rsidR="00C809B9" w:rsidRPr="00BF50C4" w:rsidRDefault="0063003F" w:rsidP="00A154B2">
      <w:pPr>
        <w:rPr>
          <w:sz w:val="18"/>
          <w:szCs w:val="18"/>
        </w:rPr>
      </w:pPr>
      <w:r w:rsidRPr="00BF50C4">
        <w:rPr>
          <w:sz w:val="18"/>
          <w:szCs w:val="18"/>
        </w:rPr>
        <w:t xml:space="preserve">Tabel </w:t>
      </w:r>
      <w:r w:rsidR="005B1AC3" w:rsidRPr="00BF50C4">
        <w:rPr>
          <w:sz w:val="18"/>
          <w:szCs w:val="18"/>
        </w:rPr>
        <w:t>4</w:t>
      </w:r>
      <w:r w:rsidRPr="00BF50C4">
        <w:rPr>
          <w:sz w:val="18"/>
          <w:szCs w:val="18"/>
        </w:rPr>
        <w:t>. Ejendomsselskaber Cicerovurderinger. Cicero målte samtidig med deres egen skala graden af bæredygtighed som</w:t>
      </w:r>
      <w:r w:rsidR="0040460C" w:rsidRPr="00BF50C4">
        <w:rPr>
          <w:sz w:val="18"/>
          <w:szCs w:val="18"/>
        </w:rPr>
        <w:t xml:space="preserve"> </w:t>
      </w:r>
      <w:r w:rsidR="005A0FCD" w:rsidRPr="00BF50C4">
        <w:rPr>
          <w:sz w:val="18"/>
          <w:szCs w:val="18"/>
        </w:rPr>
        <w:t>dark gree</w:t>
      </w:r>
      <w:r w:rsidRPr="00BF50C4">
        <w:rPr>
          <w:sz w:val="18"/>
          <w:szCs w:val="18"/>
        </w:rPr>
        <w:t>n</w:t>
      </w:r>
      <w:r w:rsidR="005A0FCD" w:rsidRPr="00BF50C4">
        <w:rPr>
          <w:sz w:val="18"/>
          <w:szCs w:val="18"/>
        </w:rPr>
        <w:t>, medium green, light green</w:t>
      </w:r>
      <w:r w:rsidRPr="00BF50C4">
        <w:rPr>
          <w:sz w:val="18"/>
          <w:szCs w:val="18"/>
        </w:rPr>
        <w:t xml:space="preserve"> og virksomhedernes ledelse af bæredygtighed (governance) som </w:t>
      </w:r>
      <w:r w:rsidR="005A0FCD" w:rsidRPr="00BF50C4">
        <w:rPr>
          <w:sz w:val="18"/>
          <w:szCs w:val="18"/>
        </w:rPr>
        <w:t>fair, good</w:t>
      </w:r>
      <w:r w:rsidRPr="00BF50C4">
        <w:rPr>
          <w:sz w:val="18"/>
          <w:szCs w:val="18"/>
        </w:rPr>
        <w:t xml:space="preserve"> eller</w:t>
      </w:r>
      <w:r w:rsidR="005A0FCD" w:rsidRPr="00BF50C4">
        <w:rPr>
          <w:sz w:val="18"/>
          <w:szCs w:val="18"/>
        </w:rPr>
        <w:t xml:space="preserve"> excellent</w:t>
      </w:r>
      <w:r w:rsidRPr="00BF50C4">
        <w:rPr>
          <w:sz w:val="18"/>
          <w:szCs w:val="18"/>
        </w:rPr>
        <w:t>.</w:t>
      </w:r>
    </w:p>
    <w:p w14:paraId="06774F78" w14:textId="77777777" w:rsidR="00C809B9" w:rsidRDefault="00C809B9" w:rsidP="0063003F">
      <w:pPr>
        <w:pStyle w:val="Overskrift2"/>
        <w:rPr>
          <w:rFonts w:ascii="Times New Roman" w:hAnsi="Times New Roman"/>
          <w:szCs w:val="24"/>
        </w:rPr>
      </w:pPr>
    </w:p>
    <w:p w14:paraId="32ACF824" w14:textId="59AABF3C" w:rsidR="00974818" w:rsidRPr="00DE14A5" w:rsidRDefault="00572D8F" w:rsidP="0063003F">
      <w:pPr>
        <w:pStyle w:val="Overskrift2"/>
        <w:rPr>
          <w:b/>
          <w:bCs/>
        </w:rPr>
      </w:pPr>
      <w:bookmarkStart w:id="13" w:name="_Toc112184349"/>
      <w:r w:rsidRPr="00DE14A5">
        <w:rPr>
          <w:b/>
          <w:bCs/>
        </w:rPr>
        <w:t>1</w:t>
      </w:r>
      <w:r w:rsidRPr="00DE14A5">
        <w:rPr>
          <w:rStyle w:val="Overskrift3Tegn"/>
        </w:rPr>
        <w:t>.3.</w:t>
      </w:r>
      <w:r w:rsidR="00CA4844" w:rsidRPr="00DE14A5">
        <w:rPr>
          <w:rStyle w:val="Overskrift3Tegn"/>
        </w:rPr>
        <w:t>2</w:t>
      </w:r>
      <w:r w:rsidRPr="00DE14A5">
        <w:rPr>
          <w:rStyle w:val="Overskrift3Tegn"/>
        </w:rPr>
        <w:t xml:space="preserve"> </w:t>
      </w:r>
      <w:r w:rsidR="00974818" w:rsidRPr="00DE14A5">
        <w:rPr>
          <w:rStyle w:val="Overskrift3Tegn"/>
        </w:rPr>
        <w:t>CASE: Platzer</w:t>
      </w:r>
      <w:bookmarkEnd w:id="13"/>
      <w:r w:rsidR="00974818" w:rsidRPr="00DE14A5">
        <w:rPr>
          <w:b/>
          <w:bCs/>
        </w:rPr>
        <w:t xml:space="preserve"> </w:t>
      </w:r>
    </w:p>
    <w:p w14:paraId="30B84ED3" w14:textId="5572C06B" w:rsidR="00974818" w:rsidRPr="00BF50C4" w:rsidRDefault="00974818" w:rsidP="00974818">
      <w:r w:rsidRPr="00BF50C4">
        <w:t>Platzer er et mellemstort ejendomsselskab, der opererer i</w:t>
      </w:r>
      <w:r w:rsidR="00DB0643" w:rsidRPr="00BF50C4">
        <w:t>ndenfor</w:t>
      </w:r>
      <w:r w:rsidRPr="00BF50C4">
        <w:t xml:space="preserve"> erhvervsejendomme i Gøteborg. </w:t>
      </w:r>
    </w:p>
    <w:p w14:paraId="29B4D503" w14:textId="77777777" w:rsidR="00974818" w:rsidRPr="00BF50C4" w:rsidRDefault="00974818" w:rsidP="00974818">
      <w:pPr>
        <w:jc w:val="center"/>
      </w:pPr>
      <w:r w:rsidRPr="00BF50C4">
        <w:rPr>
          <w:lang w:val="sv-SE"/>
        </w:rPr>
        <w:t xml:space="preserve">”Vi finns bara i Göteborg. </w:t>
      </w:r>
      <w:r w:rsidRPr="00BF50C4">
        <w:t>Ingen annanstans.” Platzer 2022</w:t>
      </w:r>
    </w:p>
    <w:p w14:paraId="195C9E32" w14:textId="38FC8341" w:rsidR="00974818" w:rsidRPr="00BF50C4" w:rsidRDefault="00974818" w:rsidP="00974818">
      <w:r w:rsidRPr="00BF50C4">
        <w:t xml:space="preserve">Platzer administrerer og udvikler cirka 70 ejendomme på </w:t>
      </w:r>
      <w:r w:rsidR="00DB0643" w:rsidRPr="00BF50C4">
        <w:t xml:space="preserve">i alt </w:t>
      </w:r>
      <w:r w:rsidRPr="00BF50C4">
        <w:t>godt 800.000 kvadratmeter. Platzer blev noteret på OMX Stockholm-børsen "small cap" i 2013, men er løbende vokset siden da og er i 2022 blevet noteret som "large cap". I 2015 udnævnte Platzer en ny leder for bæredygtighed og kombinerede dette job med ansvaret for indkøb.</w:t>
      </w:r>
    </w:p>
    <w:p w14:paraId="112DB04B" w14:textId="77777777" w:rsidR="00974818" w:rsidRPr="00BF50C4" w:rsidRDefault="00974818" w:rsidP="00974818">
      <w:r w:rsidRPr="00BF50C4">
        <w:t>I 2018 kørte Platzer et sæt udviklingsaktiviteter, der førte til en ny strategi med fokus på "bæredygtig værdi", hvilket betyder langsigtet indtjening. Denne strategi følges stadig. Desuden annoncerede de også fokus på FN-målene, nr. 5, 7,8,11 i deres bæredygtighedsarbejde. Dette blev udviklet og finjusteret til GRI-indekset (Global Report Initiative), som Platzer begyndte at følge første gang i 2018. Bæredygtighedschefen fortsatte indtil 2020, placeret under direktionen i virksomhedens relativt lille administration. I 2020 blev bæredygtighed integreret med kommunikation som ansvarområde og en tilsvarende direktør blev en del af direktionen.</w:t>
      </w:r>
    </w:p>
    <w:p w14:paraId="20D0F5B4" w14:textId="77777777" w:rsidR="00974818" w:rsidRPr="00BF50C4" w:rsidRDefault="00974818" w:rsidP="00974818">
      <w:r w:rsidRPr="00BF50C4">
        <w:t>I 2021 begyndte Platzer at forberede sig på at gå ind i det grønne finansområde og til at rapportere i henhold til EU's taksonomi. Platzer er noteret på børsen, men har for få ansætte til at være omfattet af EU lovgivningen (regnskab og taxonomi). I 2021 blev Platzer, sammen med omkring 20 andre ejendomsselskaber i Sverige, evalueret af Cicero Shades of Grey, der foretog en evaluering i forhold til EU-taksonomien.</w:t>
      </w:r>
    </w:p>
    <w:p w14:paraId="0B6EC6AC" w14:textId="77777777" w:rsidR="00974818" w:rsidRPr="00BF50C4" w:rsidRDefault="00974818" w:rsidP="00974818">
      <w:r w:rsidRPr="00BF50C4">
        <w:t>Evalueringen identificerer to relevante EU-taksonomikriterieområder: For det første erhvervelse og ejerskab af bygninger, dækning af indtægter og driftsomkostninger, og for det andet opførelse af nye bygninger og renovering, der dækker investeringer. CICERO vurderer, at Platzer ikke havde nogen fuldt taksonomi medholdelig omsætning, OPEX eller CAPEX i 2020. Cicero vurderer, at det er "sandsynligt", at 70 % af 2020 CAPEX ville være i overensstemmelse med afbødningskriterierne for nybyggeri (det andet område af kriterier). Vurderingen er dog ifølge Cicero betinget af, at Platzer opfylder deres forventede energieffektivitetsniveau. Cicero hævder ikke at være i stand til at bestemme tilpasningen af ​​Platzers aktiviteter relateret til de tekniske afbødningsgrænser for erhvervelse og ejerskab af bygninger eller renovering (det første område af kriterier). Platzer vurderes til at være "sandsynligvis afstemt" med de relevante DNSH-kriterier for tilpasning til klimaændringer, men har ifølge Cicero huller relateret til bæredygtig brug og beskyttelse af vand og marine ressourcer og overgangen til en cirkulær økonomi. Cicero mener, at Platzer i øjeblikket ikke opfylder alle de sociale minimumsgarantier i EU-taksonomien. Se også tabellen.</w:t>
      </w:r>
    </w:p>
    <w:p w14:paraId="33C86484" w14:textId="77777777" w:rsidR="00974818" w:rsidRPr="00BF50C4" w:rsidRDefault="00974818" w:rsidP="00974818"/>
    <w:p w14:paraId="29C4DFFD" w14:textId="77777777" w:rsidR="00974818" w:rsidRPr="00BF50C4" w:rsidRDefault="00974818" w:rsidP="00974818"/>
    <w:tbl>
      <w:tblPr>
        <w:tblStyle w:val="Tabel-Gitter"/>
        <w:tblW w:w="0" w:type="auto"/>
        <w:tblLook w:val="04A0" w:firstRow="1" w:lastRow="0" w:firstColumn="1" w:lastColumn="0" w:noHBand="0" w:noVBand="1"/>
      </w:tblPr>
      <w:tblGrid>
        <w:gridCol w:w="9628"/>
      </w:tblGrid>
      <w:tr w:rsidR="00974818" w:rsidRPr="00BF50C4" w14:paraId="711444E8" w14:textId="77777777" w:rsidTr="00E04892">
        <w:tc>
          <w:tcPr>
            <w:tcW w:w="9628" w:type="dxa"/>
          </w:tcPr>
          <w:p w14:paraId="00D1C40E" w14:textId="77777777" w:rsidR="00974818" w:rsidRPr="00BF50C4" w:rsidRDefault="00974818" w:rsidP="00E04892">
            <w:pPr>
              <w:rPr>
                <w:b/>
                <w:bCs/>
              </w:rPr>
            </w:pPr>
            <w:r w:rsidRPr="00BF50C4">
              <w:rPr>
                <w:b/>
                <w:bCs/>
              </w:rPr>
              <w:t>Ciceros vurdering af Platzer 2021</w:t>
            </w:r>
          </w:p>
          <w:p w14:paraId="0A5B0A15" w14:textId="4BACC4E8" w:rsidR="00974818" w:rsidRPr="00BF50C4" w:rsidRDefault="00974818" w:rsidP="00E04892">
            <w:r w:rsidRPr="00BF50C4">
              <w:rPr>
                <w:b/>
                <w:bCs/>
              </w:rPr>
              <w:t>1. Modvirkning af klimaændringer</w:t>
            </w:r>
            <w:r w:rsidRPr="00BF50C4">
              <w:t>: Ikke muligt at vurdere energieffektiviteten, for lidt data om Platzers ejendomme,</w:t>
            </w:r>
            <w:r w:rsidR="0040460C" w:rsidRPr="00BF50C4">
              <w:t xml:space="preserve"> </w:t>
            </w:r>
            <w:r w:rsidRPr="00BF50C4">
              <w:t>Platzer lever sandsynligvis op til energi management kravene (likely aligned)</w:t>
            </w:r>
          </w:p>
          <w:p w14:paraId="619E758F" w14:textId="4C4C888C" w:rsidR="00974818" w:rsidRPr="00BF50C4" w:rsidRDefault="00974818" w:rsidP="00E04892">
            <w:r w:rsidRPr="00BF50C4">
              <w:rPr>
                <w:b/>
                <w:bCs/>
              </w:rPr>
              <w:t>2. Tilpasning til klimaændringer</w:t>
            </w:r>
            <w:r w:rsidRPr="00BF50C4">
              <w:t>: Platzer lever sandsynligvis op til kravene</w:t>
            </w:r>
            <w:r w:rsidR="0040460C" w:rsidRPr="00BF50C4">
              <w:t xml:space="preserve"> </w:t>
            </w:r>
            <w:r w:rsidRPr="00BF50C4">
              <w:t>når det gælder nybyggeri (”likely aligned”)</w:t>
            </w:r>
            <w:r w:rsidRPr="00BF50C4">
              <w:rPr>
                <w:rFonts w:eastAsia="Times New Roman"/>
                <w:color w:val="000000"/>
              </w:rPr>
              <w:t xml:space="preserve"> 70 % of CAPEX lever op til kravene,</w:t>
            </w:r>
            <w:r w:rsidRPr="00BF50C4">
              <w:t xml:space="preserve"> Platzer lever sandsynligvis op til kravene</w:t>
            </w:r>
            <w:r w:rsidR="0040460C" w:rsidRPr="00BF50C4">
              <w:t xml:space="preserve"> </w:t>
            </w:r>
            <w:r w:rsidRPr="00BF50C4">
              <w:t>når det gælder</w:t>
            </w:r>
            <w:r w:rsidRPr="00BF50C4">
              <w:rPr>
                <w:rFonts w:eastAsia="Times New Roman"/>
                <w:color w:val="000000"/>
              </w:rPr>
              <w:t xml:space="preserve"> air-tightness,</w:t>
            </w:r>
            <w:r w:rsidR="0040460C" w:rsidRPr="00BF50C4">
              <w:rPr>
                <w:rFonts w:eastAsia="Times New Roman"/>
                <w:color w:val="000000"/>
              </w:rPr>
              <w:t xml:space="preserve"> </w:t>
            </w:r>
            <w:r w:rsidRPr="00BF50C4">
              <w:rPr>
                <w:rFonts w:eastAsia="Times New Roman"/>
                <w:color w:val="000000"/>
              </w:rPr>
              <w:t>thermal integrity og GWP</w:t>
            </w:r>
          </w:p>
          <w:p w14:paraId="1710E18E" w14:textId="77777777" w:rsidR="00974818" w:rsidRPr="00BF50C4" w:rsidRDefault="00974818" w:rsidP="00E04892">
            <w:pPr>
              <w:rPr>
                <w:b/>
                <w:bCs/>
              </w:rPr>
            </w:pPr>
            <w:r w:rsidRPr="00BF50C4">
              <w:rPr>
                <w:b/>
                <w:bCs/>
              </w:rPr>
              <w:t xml:space="preserve">3. Bæredygtig anvendelse og beskyttelse af vand- og havressourcer: </w:t>
            </w:r>
            <w:r w:rsidRPr="00BF50C4">
              <w:t>Platzer lever sandsynligvis ikke op til kravene (”likely not aligned”)</w:t>
            </w:r>
          </w:p>
          <w:p w14:paraId="7DA9C446" w14:textId="5C2093EE" w:rsidR="00974818" w:rsidRPr="00BF50C4" w:rsidRDefault="00974818" w:rsidP="00E04892">
            <w:pPr>
              <w:rPr>
                <w:b/>
                <w:bCs/>
              </w:rPr>
            </w:pPr>
            <w:r w:rsidRPr="00BF50C4">
              <w:t xml:space="preserve">4. </w:t>
            </w:r>
            <w:r w:rsidRPr="00BF50C4">
              <w:rPr>
                <w:b/>
                <w:bCs/>
              </w:rPr>
              <w:t xml:space="preserve">Omstilling til en cirkulær økonomi </w:t>
            </w:r>
            <w:r w:rsidRPr="00BF50C4">
              <w:t>Platzer lever sandsynligvis op til kravene</w:t>
            </w:r>
            <w:r w:rsidR="0040460C" w:rsidRPr="00BF50C4">
              <w:t xml:space="preserve"> </w:t>
            </w:r>
            <w:r w:rsidRPr="00BF50C4">
              <w:t>når det gælder affaldshåntering. Platzer lever sandsynligvis ikke op til kravene</w:t>
            </w:r>
            <w:r w:rsidR="0040460C" w:rsidRPr="00BF50C4">
              <w:t xml:space="preserve"> </w:t>
            </w:r>
            <w:r w:rsidRPr="00BF50C4">
              <w:t>når det gælder cirkulær økonomi</w:t>
            </w:r>
          </w:p>
          <w:p w14:paraId="74DB9A67" w14:textId="68D80526" w:rsidR="00974818" w:rsidRPr="00BF50C4" w:rsidRDefault="00974818" w:rsidP="00E04892">
            <w:pPr>
              <w:rPr>
                <w:b/>
                <w:bCs/>
              </w:rPr>
            </w:pPr>
            <w:r w:rsidRPr="00BF50C4">
              <w:rPr>
                <w:b/>
                <w:bCs/>
              </w:rPr>
              <w:t xml:space="preserve">5. Forebyggelse og bekæmpelse af forurening: </w:t>
            </w:r>
            <w:r w:rsidRPr="00BF50C4">
              <w:t>Platzer lever sandsynligvis op til kravene</w:t>
            </w:r>
            <w:r w:rsidR="0040460C" w:rsidRPr="00BF50C4">
              <w:t xml:space="preserve"> </w:t>
            </w:r>
          </w:p>
          <w:p w14:paraId="27BF4DB1" w14:textId="424A6E07" w:rsidR="00974818" w:rsidRPr="00BF50C4" w:rsidRDefault="00974818" w:rsidP="00E04892">
            <w:r w:rsidRPr="00BF50C4">
              <w:rPr>
                <w:b/>
                <w:bCs/>
              </w:rPr>
              <w:t>6. Beskyttelse og genopretning af biodiversitet og økosystemer:</w:t>
            </w:r>
            <w:r w:rsidRPr="00BF50C4">
              <w:t xml:space="preserve"> Platzer lever sandsynligvis op til kravene</w:t>
            </w:r>
            <w:r w:rsidR="0040460C" w:rsidRPr="00BF50C4">
              <w:t xml:space="preserve"> </w:t>
            </w:r>
          </w:p>
        </w:tc>
      </w:tr>
    </w:tbl>
    <w:p w14:paraId="31A46EAB" w14:textId="77777777" w:rsidR="00974818" w:rsidRPr="00BF50C4" w:rsidRDefault="00974818" w:rsidP="00974818">
      <w:r w:rsidRPr="00BF50C4">
        <w:t>Tabel 5: Cicero-evaluering af Platzer (2021)</w:t>
      </w:r>
    </w:p>
    <w:p w14:paraId="0C366FAA" w14:textId="77777777" w:rsidR="00974818" w:rsidRPr="00BF50C4" w:rsidRDefault="00974818" w:rsidP="00974818">
      <w:r w:rsidRPr="00BF50C4">
        <w:t>Platzer blev optaget på Nasdaq Green Equity-børsen i 2021. Resultatet af den bagvedliggende vurdering udført af Cicero for Nasdaq viser, at 88% af lejeindtægterne, 88% af driftsomkostningerne og 96% af investeringerne hos Platzer er "grønne" (Cicero 2021). Den administrerende direktør kommenterede senere på optagelsen, og noterede at en tærskel på 50 % for at blive vurderet grøn af Nasdaq sandsynligvis var for lav. Senere samme år kunne Platzer rapportere, at de havde gennemført deres første emission af grønne obligationer. Platzer har inden for rammerne af deres grønne obligationsprogram på 5 000 millioner SEK udsendt en ”senior unsecured” grøn obligation (Platzer 2022). Denne obligation er et variabelt lån med et maksimum på 600 MSEK.</w:t>
      </w:r>
    </w:p>
    <w:p w14:paraId="1F66828F" w14:textId="10881210" w:rsidR="00974818" w:rsidRPr="00BF50C4" w:rsidRDefault="00974818" w:rsidP="00974818">
      <w:r w:rsidRPr="00BF50C4">
        <w:t>Årsrapporten for 2021, viste et meget positivt resultat med et stort overskud. I overensstemmelse med EU-taksonomien rapporterede Platzer at være 100 % dækket (”eligible”). Firmaet gennemførte altså denne offentlige vurdering på</w:t>
      </w:r>
      <w:r w:rsidR="0040460C" w:rsidRPr="00BF50C4">
        <w:t xml:space="preserve"> </w:t>
      </w:r>
      <w:r w:rsidRPr="00BF50C4">
        <w:t>trods af, at de var for små til at være omfattet af lovgivningen. I modsætning til forventningerne, skabt af de høje tal i Cicero-evalueringen, besluttede Platzer sig dog til ikke frivilligt at forudse evalueringen i 2022, dvs. i hvilken grad Platzers aktiviteter ville blive vurderet som bæredygtige i henhold til EU-taksonomikriterierne ("aligned").</w:t>
      </w:r>
    </w:p>
    <w:p w14:paraId="3AAB6B76" w14:textId="4F29A1DD" w:rsidR="00974818" w:rsidRPr="00BF50C4" w:rsidRDefault="00974818" w:rsidP="00974818">
      <w:r w:rsidRPr="00BF50C4">
        <w:t>Den administrerende direktør annoncerede ved generalforsamlingen i foråret 2022 en ambition om eksplicit at måle scope 3 i henhold til drivhusgasprotokollen (GHG protocol 2022) og ikke bare scope 1 og 2 som hidtil, en ambition om at nå frem til at finansiere alle ejendomme med 100 % grøn finansiering og at certificere flere bygninger i 2022. Det betyder indirekte, at cirkularitet og social bæredygtighed fortsat har relativt lav prioritet, selvom det er annonceret fra udviklerne af EU-taksonomien. Platzer vælger altså på disse områder at vente med at gennemføre en vurdering.</w:t>
      </w:r>
    </w:p>
    <w:p w14:paraId="5D465A98" w14:textId="77777777" w:rsidR="00974818" w:rsidRPr="00BF50C4" w:rsidRDefault="00974818" w:rsidP="00974818"/>
    <w:p w14:paraId="6F0E530E" w14:textId="2639B30B" w:rsidR="00974818" w:rsidRPr="006006B8" w:rsidRDefault="00572D8F" w:rsidP="00DE14A5">
      <w:pPr>
        <w:pStyle w:val="Overskrift3"/>
      </w:pPr>
      <w:bookmarkStart w:id="14" w:name="_Toc112184350"/>
      <w:r>
        <w:t>1.3.</w:t>
      </w:r>
      <w:r w:rsidR="00CA4844">
        <w:t>3</w:t>
      </w:r>
      <w:r>
        <w:t xml:space="preserve"> </w:t>
      </w:r>
      <w:r w:rsidR="004A40EA">
        <w:t>Byggebranchens</w:t>
      </w:r>
      <w:r w:rsidR="003E6C6B">
        <w:t xml:space="preserve"> </w:t>
      </w:r>
      <w:r w:rsidR="00CA4844">
        <w:t>arbejde med EU lovpakken</w:t>
      </w:r>
      <w:r w:rsidR="004A40EA">
        <w:t xml:space="preserve"> (SE)</w:t>
      </w:r>
      <w:bookmarkEnd w:id="14"/>
      <w:r w:rsidR="004A40EA">
        <w:t xml:space="preserve"> </w:t>
      </w:r>
    </w:p>
    <w:p w14:paraId="21A0AA7B" w14:textId="3C56BB84" w:rsidR="00974818" w:rsidRPr="00833778" w:rsidRDefault="00BF50C4" w:rsidP="00974818">
      <w:pPr>
        <w:rPr>
          <w:sz w:val="24"/>
          <w:szCs w:val="24"/>
        </w:rPr>
      </w:pPr>
      <w:r w:rsidRPr="00833778">
        <w:rPr>
          <w:sz w:val="24"/>
          <w:szCs w:val="24"/>
        </w:rPr>
        <w:t>Byggebranchen analyseres her efter de klassiske typer af firmaer aktive i branchen: Rådgivende Ingeniører (inklusive arkitekter)</w:t>
      </w:r>
      <w:r w:rsidR="00833778">
        <w:rPr>
          <w:sz w:val="24"/>
          <w:szCs w:val="24"/>
        </w:rPr>
        <w:t xml:space="preserve"> og</w:t>
      </w:r>
      <w:r w:rsidRPr="00833778">
        <w:rPr>
          <w:sz w:val="24"/>
          <w:szCs w:val="24"/>
        </w:rPr>
        <w:t xml:space="preserve"> entreprenører </w:t>
      </w:r>
    </w:p>
    <w:p w14:paraId="7400D1EB" w14:textId="77777777" w:rsidR="00974818" w:rsidRPr="00833778" w:rsidRDefault="00974818" w:rsidP="00974818">
      <w:pPr>
        <w:rPr>
          <w:sz w:val="24"/>
          <w:szCs w:val="24"/>
        </w:rPr>
      </w:pPr>
      <w:r w:rsidRPr="00833778">
        <w:rPr>
          <w:sz w:val="24"/>
          <w:szCs w:val="24"/>
        </w:rPr>
        <w:t>Rådgivende Ingeniører</w:t>
      </w:r>
    </w:p>
    <w:tbl>
      <w:tblPr>
        <w:tblW w:w="4723" w:type="dxa"/>
        <w:tblLook w:val="04A0" w:firstRow="1" w:lastRow="0" w:firstColumn="1" w:lastColumn="0" w:noHBand="0" w:noVBand="1"/>
      </w:tblPr>
      <w:tblGrid>
        <w:gridCol w:w="1700"/>
        <w:gridCol w:w="1177"/>
        <w:gridCol w:w="843"/>
        <w:gridCol w:w="1003"/>
      </w:tblGrid>
      <w:tr w:rsidR="00974818" w:rsidRPr="00833778" w14:paraId="69302DDF" w14:textId="77777777" w:rsidTr="00E04892">
        <w:trPr>
          <w:trHeight w:val="288"/>
        </w:trPr>
        <w:tc>
          <w:tcPr>
            <w:tcW w:w="1700" w:type="dxa"/>
            <w:tcBorders>
              <w:top w:val="single" w:sz="8" w:space="0" w:color="auto"/>
              <w:left w:val="single" w:sz="8" w:space="0" w:color="auto"/>
              <w:bottom w:val="nil"/>
              <w:right w:val="nil"/>
            </w:tcBorders>
            <w:shd w:val="clear" w:color="auto" w:fill="auto"/>
            <w:noWrap/>
            <w:vAlign w:val="bottom"/>
            <w:hideMark/>
          </w:tcPr>
          <w:p w14:paraId="5E82222D"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c>
          <w:tcPr>
            <w:tcW w:w="2020" w:type="dxa"/>
            <w:gridSpan w:val="2"/>
            <w:tcBorders>
              <w:top w:val="single" w:sz="8" w:space="0" w:color="auto"/>
              <w:left w:val="nil"/>
              <w:bottom w:val="nil"/>
              <w:right w:val="nil"/>
            </w:tcBorders>
            <w:shd w:val="clear" w:color="auto" w:fill="auto"/>
            <w:noWrap/>
            <w:vAlign w:val="bottom"/>
            <w:hideMark/>
          </w:tcPr>
          <w:p w14:paraId="4165F14A" w14:textId="77777777" w:rsidR="00974818" w:rsidRPr="00833778" w:rsidRDefault="00974818" w:rsidP="00E04892">
            <w:pPr>
              <w:spacing w:after="0" w:line="240" w:lineRule="auto"/>
              <w:rPr>
                <w:rFonts w:eastAsia="Times New Roman"/>
                <w:b/>
                <w:bCs/>
                <w:color w:val="000000"/>
                <w:sz w:val="24"/>
                <w:szCs w:val="24"/>
              </w:rPr>
            </w:pPr>
            <w:r w:rsidRPr="00833778">
              <w:rPr>
                <w:rFonts w:eastAsia="Times New Roman"/>
                <w:b/>
                <w:bCs/>
                <w:color w:val="000000"/>
                <w:sz w:val="24"/>
                <w:szCs w:val="24"/>
              </w:rPr>
              <w:t>Obligatory</w:t>
            </w:r>
          </w:p>
        </w:tc>
        <w:tc>
          <w:tcPr>
            <w:tcW w:w="1003" w:type="dxa"/>
            <w:tcBorders>
              <w:top w:val="single" w:sz="8" w:space="0" w:color="auto"/>
              <w:left w:val="nil"/>
              <w:bottom w:val="nil"/>
              <w:right w:val="single" w:sz="8" w:space="0" w:color="auto"/>
            </w:tcBorders>
            <w:shd w:val="clear" w:color="auto" w:fill="auto"/>
            <w:noWrap/>
            <w:vAlign w:val="bottom"/>
            <w:hideMark/>
          </w:tcPr>
          <w:p w14:paraId="7EE66EA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r>
      <w:tr w:rsidR="00974818" w:rsidRPr="00833778" w14:paraId="1CB3B275"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785CB42D"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c>
          <w:tcPr>
            <w:tcW w:w="3023" w:type="dxa"/>
            <w:gridSpan w:val="3"/>
            <w:tcBorders>
              <w:top w:val="nil"/>
              <w:left w:val="nil"/>
              <w:bottom w:val="nil"/>
              <w:right w:val="single" w:sz="8" w:space="0" w:color="000000"/>
            </w:tcBorders>
            <w:shd w:val="clear" w:color="auto" w:fill="auto"/>
            <w:noWrap/>
            <w:vAlign w:val="bottom"/>
            <w:hideMark/>
          </w:tcPr>
          <w:p w14:paraId="17791F55" w14:textId="77777777" w:rsidR="00974818" w:rsidRPr="00833778" w:rsidRDefault="00974818" w:rsidP="00E04892">
            <w:pPr>
              <w:spacing w:after="0" w:line="240" w:lineRule="auto"/>
              <w:rPr>
                <w:rFonts w:eastAsia="Times New Roman"/>
                <w:b/>
                <w:bCs/>
                <w:color w:val="000000"/>
                <w:sz w:val="24"/>
                <w:szCs w:val="24"/>
              </w:rPr>
            </w:pPr>
            <w:r w:rsidRPr="00833778">
              <w:rPr>
                <w:rFonts w:eastAsia="Times New Roman"/>
                <w:b/>
                <w:bCs/>
                <w:color w:val="000000"/>
                <w:sz w:val="24"/>
                <w:szCs w:val="24"/>
              </w:rPr>
              <w:t xml:space="preserve">compliance Tax 2021 </w:t>
            </w:r>
          </w:p>
        </w:tc>
      </w:tr>
      <w:tr w:rsidR="00974818" w:rsidRPr="00833778" w14:paraId="2D894090"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34D1FD49" w14:textId="77777777" w:rsidR="00974818" w:rsidRPr="00833778" w:rsidRDefault="00974818" w:rsidP="00E04892">
            <w:pPr>
              <w:spacing w:after="0" w:line="240" w:lineRule="auto"/>
              <w:rPr>
                <w:rFonts w:eastAsia="Times New Roman"/>
                <w:b/>
                <w:bCs/>
                <w:color w:val="000000"/>
                <w:sz w:val="24"/>
                <w:szCs w:val="24"/>
              </w:rPr>
            </w:pPr>
            <w:r w:rsidRPr="00833778">
              <w:rPr>
                <w:rFonts w:eastAsia="Times New Roman"/>
                <w:b/>
                <w:bCs/>
                <w:color w:val="000000"/>
                <w:sz w:val="24"/>
                <w:szCs w:val="24"/>
              </w:rPr>
              <w:t>A</w:t>
            </w:r>
            <w:r w:rsidRPr="00833778">
              <w:rPr>
                <w:rFonts w:eastAsia="Times New Roman"/>
                <w:b/>
                <w:bCs/>
                <w:color w:val="000000"/>
                <w:sz w:val="24"/>
                <w:szCs w:val="24"/>
                <w:lang w:val="sv-SE"/>
              </w:rPr>
              <w:t>cto</w:t>
            </w:r>
            <w:r w:rsidRPr="00833778">
              <w:rPr>
                <w:rFonts w:eastAsia="Times New Roman"/>
                <w:b/>
                <w:bCs/>
                <w:color w:val="000000"/>
                <w:sz w:val="24"/>
                <w:szCs w:val="24"/>
              </w:rPr>
              <w:t>r</w:t>
            </w:r>
          </w:p>
        </w:tc>
        <w:tc>
          <w:tcPr>
            <w:tcW w:w="2020" w:type="dxa"/>
            <w:gridSpan w:val="2"/>
            <w:tcBorders>
              <w:top w:val="nil"/>
              <w:left w:val="nil"/>
              <w:bottom w:val="nil"/>
              <w:right w:val="nil"/>
            </w:tcBorders>
            <w:shd w:val="clear" w:color="auto" w:fill="auto"/>
            <w:noWrap/>
            <w:vAlign w:val="bottom"/>
            <w:hideMark/>
          </w:tcPr>
          <w:p w14:paraId="76EE97A2"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xml:space="preserve">percentage </w:t>
            </w:r>
            <w:r w:rsidRPr="00833778">
              <w:rPr>
                <w:rFonts w:eastAsia="Times New Roman"/>
                <w:b/>
                <w:bCs/>
                <w:color w:val="000000"/>
                <w:sz w:val="24"/>
                <w:szCs w:val="24"/>
              </w:rPr>
              <w:t xml:space="preserve">Eligible </w:t>
            </w:r>
          </w:p>
        </w:tc>
        <w:tc>
          <w:tcPr>
            <w:tcW w:w="1003" w:type="dxa"/>
            <w:tcBorders>
              <w:top w:val="nil"/>
              <w:left w:val="nil"/>
              <w:bottom w:val="nil"/>
              <w:right w:val="single" w:sz="8" w:space="0" w:color="auto"/>
            </w:tcBorders>
            <w:shd w:val="clear" w:color="auto" w:fill="auto"/>
            <w:noWrap/>
            <w:vAlign w:val="bottom"/>
            <w:hideMark/>
          </w:tcPr>
          <w:p w14:paraId="3A3C11F2"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r>
      <w:tr w:rsidR="00974818" w:rsidRPr="00833778" w14:paraId="32365A68"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057EB161"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c>
          <w:tcPr>
            <w:tcW w:w="1177" w:type="dxa"/>
            <w:tcBorders>
              <w:top w:val="nil"/>
              <w:left w:val="nil"/>
              <w:bottom w:val="nil"/>
              <w:right w:val="nil"/>
            </w:tcBorders>
            <w:shd w:val="clear" w:color="auto" w:fill="auto"/>
            <w:noWrap/>
            <w:vAlign w:val="bottom"/>
            <w:hideMark/>
          </w:tcPr>
          <w:p w14:paraId="68677A47"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Revenue</w:t>
            </w:r>
          </w:p>
        </w:tc>
        <w:tc>
          <w:tcPr>
            <w:tcW w:w="843" w:type="dxa"/>
            <w:tcBorders>
              <w:top w:val="nil"/>
              <w:left w:val="nil"/>
              <w:bottom w:val="nil"/>
              <w:right w:val="nil"/>
            </w:tcBorders>
            <w:shd w:val="clear" w:color="auto" w:fill="auto"/>
            <w:noWrap/>
            <w:vAlign w:val="bottom"/>
            <w:hideMark/>
          </w:tcPr>
          <w:p w14:paraId="64CADDCB"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OPEX</w:t>
            </w:r>
          </w:p>
        </w:tc>
        <w:tc>
          <w:tcPr>
            <w:tcW w:w="1003" w:type="dxa"/>
            <w:tcBorders>
              <w:top w:val="nil"/>
              <w:left w:val="nil"/>
              <w:bottom w:val="nil"/>
              <w:right w:val="single" w:sz="8" w:space="0" w:color="auto"/>
            </w:tcBorders>
            <w:shd w:val="clear" w:color="auto" w:fill="auto"/>
            <w:noWrap/>
            <w:vAlign w:val="bottom"/>
            <w:hideMark/>
          </w:tcPr>
          <w:p w14:paraId="55AB9314"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CAPEX</w:t>
            </w:r>
          </w:p>
        </w:tc>
      </w:tr>
      <w:tr w:rsidR="00974818" w:rsidRPr="00833778" w14:paraId="6238DE29"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6A371016"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SWECO</w:t>
            </w:r>
          </w:p>
        </w:tc>
        <w:tc>
          <w:tcPr>
            <w:tcW w:w="1177" w:type="dxa"/>
            <w:tcBorders>
              <w:top w:val="nil"/>
              <w:left w:val="nil"/>
              <w:bottom w:val="nil"/>
              <w:right w:val="nil"/>
            </w:tcBorders>
            <w:shd w:val="clear" w:color="auto" w:fill="auto"/>
            <w:noWrap/>
            <w:vAlign w:val="bottom"/>
            <w:hideMark/>
          </w:tcPr>
          <w:p w14:paraId="5D7100B2"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35</w:t>
            </w:r>
          </w:p>
        </w:tc>
        <w:tc>
          <w:tcPr>
            <w:tcW w:w="843" w:type="dxa"/>
            <w:tcBorders>
              <w:top w:val="nil"/>
              <w:left w:val="nil"/>
              <w:bottom w:val="nil"/>
              <w:right w:val="nil"/>
            </w:tcBorders>
            <w:shd w:val="clear" w:color="auto" w:fill="auto"/>
            <w:noWrap/>
            <w:vAlign w:val="bottom"/>
            <w:hideMark/>
          </w:tcPr>
          <w:p w14:paraId="53348B4C"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34</w:t>
            </w:r>
          </w:p>
        </w:tc>
        <w:tc>
          <w:tcPr>
            <w:tcW w:w="1003" w:type="dxa"/>
            <w:tcBorders>
              <w:top w:val="nil"/>
              <w:left w:val="nil"/>
              <w:bottom w:val="nil"/>
              <w:right w:val="single" w:sz="8" w:space="0" w:color="auto"/>
            </w:tcBorders>
            <w:shd w:val="clear" w:color="auto" w:fill="auto"/>
            <w:noWrap/>
            <w:vAlign w:val="bottom"/>
            <w:hideMark/>
          </w:tcPr>
          <w:p w14:paraId="21D0CC43"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42</w:t>
            </w:r>
          </w:p>
        </w:tc>
      </w:tr>
      <w:tr w:rsidR="00974818" w:rsidRPr="00833778" w14:paraId="102C4B89"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3AAFB119"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AFRY</w:t>
            </w:r>
          </w:p>
        </w:tc>
        <w:tc>
          <w:tcPr>
            <w:tcW w:w="1177" w:type="dxa"/>
            <w:tcBorders>
              <w:top w:val="nil"/>
              <w:left w:val="nil"/>
              <w:bottom w:val="nil"/>
              <w:right w:val="nil"/>
            </w:tcBorders>
            <w:shd w:val="clear" w:color="auto" w:fill="auto"/>
            <w:noWrap/>
            <w:vAlign w:val="bottom"/>
            <w:hideMark/>
          </w:tcPr>
          <w:p w14:paraId="0129DCA2"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48</w:t>
            </w:r>
          </w:p>
        </w:tc>
        <w:tc>
          <w:tcPr>
            <w:tcW w:w="843" w:type="dxa"/>
            <w:tcBorders>
              <w:top w:val="nil"/>
              <w:left w:val="nil"/>
              <w:bottom w:val="nil"/>
              <w:right w:val="nil"/>
            </w:tcBorders>
            <w:shd w:val="clear" w:color="auto" w:fill="auto"/>
            <w:noWrap/>
            <w:vAlign w:val="bottom"/>
            <w:hideMark/>
          </w:tcPr>
          <w:p w14:paraId="3E01F071"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2</w:t>
            </w:r>
          </w:p>
        </w:tc>
        <w:tc>
          <w:tcPr>
            <w:tcW w:w="1003" w:type="dxa"/>
            <w:tcBorders>
              <w:top w:val="nil"/>
              <w:left w:val="nil"/>
              <w:bottom w:val="nil"/>
              <w:right w:val="single" w:sz="8" w:space="0" w:color="auto"/>
            </w:tcBorders>
            <w:shd w:val="clear" w:color="auto" w:fill="auto"/>
            <w:noWrap/>
            <w:vAlign w:val="bottom"/>
            <w:hideMark/>
          </w:tcPr>
          <w:p w14:paraId="6B7204BA"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0</w:t>
            </w:r>
          </w:p>
        </w:tc>
      </w:tr>
      <w:tr w:rsidR="00974818" w:rsidRPr="00833778" w14:paraId="052F02F9"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0E5A72E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RAMBÖLL</w:t>
            </w:r>
          </w:p>
        </w:tc>
        <w:tc>
          <w:tcPr>
            <w:tcW w:w="1177" w:type="dxa"/>
            <w:tcBorders>
              <w:top w:val="nil"/>
              <w:left w:val="nil"/>
              <w:bottom w:val="nil"/>
              <w:right w:val="nil"/>
            </w:tcBorders>
            <w:shd w:val="clear" w:color="auto" w:fill="auto"/>
            <w:noWrap/>
            <w:vAlign w:val="bottom"/>
            <w:hideMark/>
          </w:tcPr>
          <w:p w14:paraId="3EF6E13C"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843" w:type="dxa"/>
            <w:tcBorders>
              <w:top w:val="nil"/>
              <w:left w:val="nil"/>
              <w:bottom w:val="nil"/>
              <w:right w:val="nil"/>
            </w:tcBorders>
            <w:shd w:val="clear" w:color="auto" w:fill="auto"/>
            <w:noWrap/>
            <w:vAlign w:val="bottom"/>
            <w:hideMark/>
          </w:tcPr>
          <w:p w14:paraId="202B820E"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1003" w:type="dxa"/>
            <w:tcBorders>
              <w:top w:val="nil"/>
              <w:left w:val="nil"/>
              <w:bottom w:val="nil"/>
              <w:right w:val="single" w:sz="8" w:space="0" w:color="auto"/>
            </w:tcBorders>
            <w:shd w:val="clear" w:color="auto" w:fill="auto"/>
            <w:noWrap/>
            <w:vAlign w:val="bottom"/>
            <w:hideMark/>
          </w:tcPr>
          <w:p w14:paraId="402922F6"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r>
      <w:tr w:rsidR="00974818" w:rsidRPr="00833778" w14:paraId="13F890E4"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7791C87F"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COWI</w:t>
            </w:r>
          </w:p>
        </w:tc>
        <w:tc>
          <w:tcPr>
            <w:tcW w:w="1177" w:type="dxa"/>
            <w:tcBorders>
              <w:top w:val="nil"/>
              <w:left w:val="nil"/>
              <w:bottom w:val="nil"/>
              <w:right w:val="nil"/>
            </w:tcBorders>
            <w:shd w:val="clear" w:color="auto" w:fill="auto"/>
            <w:noWrap/>
            <w:vAlign w:val="bottom"/>
            <w:hideMark/>
          </w:tcPr>
          <w:p w14:paraId="2EC59943"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843" w:type="dxa"/>
            <w:tcBorders>
              <w:top w:val="nil"/>
              <w:left w:val="nil"/>
              <w:bottom w:val="nil"/>
              <w:right w:val="nil"/>
            </w:tcBorders>
            <w:shd w:val="clear" w:color="auto" w:fill="auto"/>
            <w:noWrap/>
            <w:vAlign w:val="bottom"/>
            <w:hideMark/>
          </w:tcPr>
          <w:p w14:paraId="6D95732F"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1003" w:type="dxa"/>
            <w:tcBorders>
              <w:top w:val="nil"/>
              <w:left w:val="nil"/>
              <w:bottom w:val="nil"/>
              <w:right w:val="single" w:sz="8" w:space="0" w:color="auto"/>
            </w:tcBorders>
            <w:shd w:val="clear" w:color="auto" w:fill="auto"/>
            <w:noWrap/>
            <w:vAlign w:val="bottom"/>
            <w:hideMark/>
          </w:tcPr>
          <w:p w14:paraId="1970B5BB"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r>
      <w:tr w:rsidR="00974818" w:rsidRPr="00833778" w14:paraId="087ECC26"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41DB3905"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WSP</w:t>
            </w:r>
          </w:p>
        </w:tc>
        <w:tc>
          <w:tcPr>
            <w:tcW w:w="1177" w:type="dxa"/>
            <w:tcBorders>
              <w:top w:val="nil"/>
              <w:left w:val="nil"/>
              <w:bottom w:val="nil"/>
              <w:right w:val="nil"/>
            </w:tcBorders>
            <w:shd w:val="clear" w:color="auto" w:fill="auto"/>
            <w:noWrap/>
            <w:vAlign w:val="bottom"/>
            <w:hideMark/>
          </w:tcPr>
          <w:p w14:paraId="12274584"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843" w:type="dxa"/>
            <w:tcBorders>
              <w:top w:val="nil"/>
              <w:left w:val="nil"/>
              <w:bottom w:val="nil"/>
              <w:right w:val="nil"/>
            </w:tcBorders>
            <w:shd w:val="clear" w:color="auto" w:fill="auto"/>
            <w:noWrap/>
            <w:vAlign w:val="bottom"/>
            <w:hideMark/>
          </w:tcPr>
          <w:p w14:paraId="07A2A47C"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1003" w:type="dxa"/>
            <w:tcBorders>
              <w:top w:val="nil"/>
              <w:left w:val="nil"/>
              <w:bottom w:val="nil"/>
              <w:right w:val="single" w:sz="8" w:space="0" w:color="auto"/>
            </w:tcBorders>
            <w:shd w:val="clear" w:color="auto" w:fill="auto"/>
            <w:noWrap/>
            <w:vAlign w:val="bottom"/>
            <w:hideMark/>
          </w:tcPr>
          <w:p w14:paraId="058CE020"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r>
      <w:tr w:rsidR="00974818" w:rsidRPr="00833778" w14:paraId="174378E6"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036A7AD7"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Tyréns</w:t>
            </w:r>
          </w:p>
        </w:tc>
        <w:tc>
          <w:tcPr>
            <w:tcW w:w="1177" w:type="dxa"/>
            <w:tcBorders>
              <w:top w:val="nil"/>
              <w:left w:val="nil"/>
              <w:bottom w:val="nil"/>
              <w:right w:val="nil"/>
            </w:tcBorders>
            <w:shd w:val="clear" w:color="auto" w:fill="auto"/>
            <w:noWrap/>
            <w:vAlign w:val="bottom"/>
            <w:hideMark/>
          </w:tcPr>
          <w:p w14:paraId="26F743F4"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843" w:type="dxa"/>
            <w:tcBorders>
              <w:top w:val="nil"/>
              <w:left w:val="nil"/>
              <w:bottom w:val="nil"/>
              <w:right w:val="nil"/>
            </w:tcBorders>
            <w:shd w:val="clear" w:color="auto" w:fill="auto"/>
            <w:noWrap/>
            <w:vAlign w:val="bottom"/>
            <w:hideMark/>
          </w:tcPr>
          <w:p w14:paraId="76F6A3CE"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1003" w:type="dxa"/>
            <w:tcBorders>
              <w:top w:val="nil"/>
              <w:left w:val="nil"/>
              <w:bottom w:val="nil"/>
              <w:right w:val="single" w:sz="8" w:space="0" w:color="auto"/>
            </w:tcBorders>
            <w:shd w:val="clear" w:color="auto" w:fill="auto"/>
            <w:noWrap/>
            <w:vAlign w:val="bottom"/>
            <w:hideMark/>
          </w:tcPr>
          <w:p w14:paraId="6EF71091"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r>
      <w:tr w:rsidR="00974818" w:rsidRPr="00833778" w14:paraId="2D90E121" w14:textId="77777777" w:rsidTr="00E04892">
        <w:trPr>
          <w:trHeight w:val="300"/>
        </w:trPr>
        <w:tc>
          <w:tcPr>
            <w:tcW w:w="1700" w:type="dxa"/>
            <w:tcBorders>
              <w:top w:val="nil"/>
              <w:left w:val="single" w:sz="8" w:space="0" w:color="auto"/>
              <w:bottom w:val="single" w:sz="8" w:space="0" w:color="auto"/>
              <w:right w:val="nil"/>
            </w:tcBorders>
            <w:shd w:val="clear" w:color="auto" w:fill="auto"/>
            <w:noWrap/>
            <w:vAlign w:val="bottom"/>
            <w:hideMark/>
          </w:tcPr>
          <w:p w14:paraId="1281CA87"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Bengt Dahlgren</w:t>
            </w:r>
          </w:p>
        </w:tc>
        <w:tc>
          <w:tcPr>
            <w:tcW w:w="1177" w:type="dxa"/>
            <w:tcBorders>
              <w:top w:val="nil"/>
              <w:left w:val="nil"/>
              <w:bottom w:val="single" w:sz="8" w:space="0" w:color="auto"/>
              <w:right w:val="nil"/>
            </w:tcBorders>
            <w:shd w:val="clear" w:color="auto" w:fill="auto"/>
            <w:noWrap/>
            <w:vAlign w:val="bottom"/>
            <w:hideMark/>
          </w:tcPr>
          <w:p w14:paraId="18434EA6"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843" w:type="dxa"/>
            <w:tcBorders>
              <w:top w:val="nil"/>
              <w:left w:val="nil"/>
              <w:bottom w:val="single" w:sz="8" w:space="0" w:color="auto"/>
              <w:right w:val="nil"/>
            </w:tcBorders>
            <w:shd w:val="clear" w:color="auto" w:fill="auto"/>
            <w:noWrap/>
            <w:vAlign w:val="bottom"/>
            <w:hideMark/>
          </w:tcPr>
          <w:p w14:paraId="692CF33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c>
          <w:tcPr>
            <w:tcW w:w="1003" w:type="dxa"/>
            <w:tcBorders>
              <w:top w:val="nil"/>
              <w:left w:val="nil"/>
              <w:bottom w:val="single" w:sz="8" w:space="0" w:color="auto"/>
              <w:right w:val="single" w:sz="8" w:space="0" w:color="auto"/>
            </w:tcBorders>
            <w:shd w:val="clear" w:color="auto" w:fill="auto"/>
            <w:noWrap/>
            <w:vAlign w:val="bottom"/>
            <w:hideMark/>
          </w:tcPr>
          <w:p w14:paraId="7C7B9F0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t>
            </w:r>
          </w:p>
        </w:tc>
      </w:tr>
    </w:tbl>
    <w:p w14:paraId="2A198622" w14:textId="0C78968D" w:rsidR="00974818" w:rsidRPr="00833778" w:rsidRDefault="00974818" w:rsidP="00974818">
      <w:pPr>
        <w:rPr>
          <w:sz w:val="20"/>
          <w:szCs w:val="20"/>
          <w:lang w:val="en-US"/>
        </w:rPr>
      </w:pPr>
      <w:r w:rsidRPr="00833778">
        <w:rPr>
          <w:sz w:val="20"/>
          <w:szCs w:val="20"/>
          <w:lang w:val="en-US"/>
        </w:rPr>
        <w:t>Tab</w:t>
      </w:r>
      <w:r w:rsidR="00A746EF" w:rsidRPr="00833778">
        <w:rPr>
          <w:sz w:val="20"/>
          <w:szCs w:val="20"/>
          <w:lang w:val="en-US"/>
        </w:rPr>
        <w:t>e</w:t>
      </w:r>
      <w:r w:rsidRPr="00833778">
        <w:rPr>
          <w:sz w:val="20"/>
          <w:szCs w:val="20"/>
          <w:lang w:val="en-US"/>
        </w:rPr>
        <w:t xml:space="preserve">l </w:t>
      </w:r>
      <w:r w:rsidR="005B1AC3" w:rsidRPr="00833778">
        <w:rPr>
          <w:sz w:val="20"/>
          <w:szCs w:val="20"/>
          <w:lang w:val="en-US"/>
        </w:rPr>
        <w:t>6</w:t>
      </w:r>
      <w:r w:rsidR="0040460C" w:rsidRPr="00833778">
        <w:rPr>
          <w:sz w:val="20"/>
          <w:szCs w:val="20"/>
          <w:lang w:val="en-US"/>
        </w:rPr>
        <w:t xml:space="preserve"> </w:t>
      </w:r>
      <w:r w:rsidR="00A746EF" w:rsidRPr="00833778">
        <w:rPr>
          <w:sz w:val="20"/>
          <w:szCs w:val="20"/>
          <w:lang w:val="en-US"/>
        </w:rPr>
        <w:t>Rådgivende Ingeniører</w:t>
      </w:r>
      <w:r w:rsidRPr="00833778">
        <w:rPr>
          <w:sz w:val="20"/>
          <w:szCs w:val="20"/>
          <w:lang w:val="en-US"/>
        </w:rPr>
        <w:t xml:space="preserve"> </w:t>
      </w:r>
    </w:p>
    <w:p w14:paraId="303B8358" w14:textId="3312812A" w:rsidR="00974818" w:rsidRPr="00833778" w:rsidRDefault="00974818" w:rsidP="00974818">
      <w:pPr>
        <w:rPr>
          <w:sz w:val="24"/>
          <w:szCs w:val="24"/>
        </w:rPr>
      </w:pPr>
      <w:r w:rsidRPr="00833778">
        <w:rPr>
          <w:sz w:val="24"/>
          <w:szCs w:val="24"/>
        </w:rPr>
        <w:t xml:space="preserve">En hel række af de største svenske rådgivere RAMBÖLL, COWI, WSP, Tyréns og Bengt Dahlgren vælger ikke at rapportere efter taxonomien. Virksomhederne tilkendegiver alle at de mener taxonomien er vigtig for deres kunder og de fleste af dem tilbyder rådgivning indenfor taxonomien. </w:t>
      </w:r>
      <w:r w:rsidR="00A746EF" w:rsidRPr="00833778">
        <w:rPr>
          <w:sz w:val="24"/>
          <w:szCs w:val="24"/>
        </w:rPr>
        <w:t xml:space="preserve">Men de vurderer altså ikke at de selv er dækket af taxonomien, i modsætning til SWECO og AFRY som angiver en begrænset dækning jævnfør tabel 3 </w:t>
      </w:r>
      <w:r w:rsidRPr="00833778">
        <w:rPr>
          <w:sz w:val="24"/>
          <w:szCs w:val="24"/>
        </w:rPr>
        <w:t>Rambøll annoncerer i sin årsrapport for 2021 at de vil rapportere i henhold til taxonomien næste år. Notér at alle de øvrige har formelle begrundelser på plads for ikke at rapportere: COWI, Tyréns og Bengt Dahlgren er ikke børsnoterede. WSP er canadisk ejet.</w:t>
      </w:r>
      <w:r w:rsidR="0040460C" w:rsidRPr="00833778">
        <w:rPr>
          <w:sz w:val="24"/>
          <w:szCs w:val="24"/>
        </w:rPr>
        <w:t xml:space="preserve"> </w:t>
      </w:r>
    </w:p>
    <w:p w14:paraId="03BFC8DE" w14:textId="7AF4AF00" w:rsidR="00D12303" w:rsidRDefault="00D12303" w:rsidP="00974818">
      <w:pPr>
        <w:rPr>
          <w:rFonts w:ascii="Times New Roman" w:hAnsi="Times New Roman"/>
          <w:sz w:val="24"/>
          <w:szCs w:val="24"/>
        </w:rPr>
      </w:pPr>
    </w:p>
    <w:p w14:paraId="17EA8CE9" w14:textId="3FEC0380" w:rsidR="00D12303" w:rsidRPr="00833778" w:rsidRDefault="00D12303" w:rsidP="00833778">
      <w:pPr>
        <w:pStyle w:val="Overskrift3"/>
      </w:pPr>
      <w:r w:rsidRPr="00833778">
        <w:t xml:space="preserve">1.3.3.1 Case COWI </w:t>
      </w:r>
    </w:p>
    <w:p w14:paraId="1EDE012B" w14:textId="564FB408" w:rsidR="00D12303" w:rsidRPr="00833778" w:rsidRDefault="00D12303" w:rsidP="00D12303">
      <w:pPr>
        <w:rPr>
          <w:sz w:val="24"/>
          <w:szCs w:val="24"/>
        </w:rPr>
      </w:pPr>
      <w:r w:rsidRPr="00833778">
        <w:rPr>
          <w:sz w:val="24"/>
          <w:szCs w:val="24"/>
        </w:rPr>
        <w:t xml:space="preserve">COWI er en bredspektret rådgivende ingeniørvirksomhed, hvor hovedforretningsområderne er Danmark, Infrastruktur, Norge, Sverige, Arkitektur </w:t>
      </w:r>
      <w:r w:rsidR="00592BE5" w:rsidRPr="00833778">
        <w:rPr>
          <w:sz w:val="24"/>
          <w:szCs w:val="24"/>
        </w:rPr>
        <w:t>i</w:t>
      </w:r>
      <w:r w:rsidRPr="00833778">
        <w:rPr>
          <w:sz w:val="24"/>
          <w:szCs w:val="24"/>
        </w:rPr>
        <w:t xml:space="preserve"> denne rang</w:t>
      </w:r>
      <w:r w:rsidR="00592BE5" w:rsidRPr="00833778">
        <w:rPr>
          <w:sz w:val="24"/>
          <w:szCs w:val="24"/>
        </w:rPr>
        <w:t>orden</w:t>
      </w:r>
      <w:r w:rsidRPr="00833778">
        <w:rPr>
          <w:sz w:val="24"/>
          <w:szCs w:val="24"/>
        </w:rPr>
        <w:t xml:space="preserve">. Virksomheden besidder desuden omfattende miljøkompetencer. </w:t>
      </w:r>
      <w:r w:rsidR="00592BE5" w:rsidRPr="00833778">
        <w:rPr>
          <w:sz w:val="24"/>
          <w:szCs w:val="24"/>
        </w:rPr>
        <w:t>Efter</w:t>
      </w:r>
      <w:r w:rsidRPr="00833778">
        <w:rPr>
          <w:sz w:val="24"/>
          <w:szCs w:val="24"/>
        </w:rPr>
        <w:t xml:space="preserve"> købet af </w:t>
      </w:r>
      <w:r w:rsidR="00592BE5" w:rsidRPr="00833778">
        <w:rPr>
          <w:sz w:val="24"/>
          <w:szCs w:val="24"/>
        </w:rPr>
        <w:t xml:space="preserve">arkitektfirmaet </w:t>
      </w:r>
      <w:r w:rsidRPr="00833778">
        <w:rPr>
          <w:sz w:val="24"/>
          <w:szCs w:val="24"/>
        </w:rPr>
        <w:t xml:space="preserve">Arkitema i 2018 </w:t>
      </w:r>
      <w:r w:rsidR="00592BE5" w:rsidRPr="00833778">
        <w:rPr>
          <w:sz w:val="24"/>
          <w:szCs w:val="24"/>
        </w:rPr>
        <w:t>med sine</w:t>
      </w:r>
      <w:r w:rsidRPr="00833778">
        <w:rPr>
          <w:sz w:val="24"/>
          <w:szCs w:val="24"/>
        </w:rPr>
        <w:t xml:space="preserve"> 550 ansatte </w:t>
      </w:r>
      <w:r w:rsidR="00592BE5" w:rsidRPr="00833778">
        <w:rPr>
          <w:sz w:val="24"/>
          <w:szCs w:val="24"/>
        </w:rPr>
        <w:t>blev COWI en virksomheds med</w:t>
      </w:r>
      <w:r w:rsidR="0040460C" w:rsidRPr="00833778">
        <w:rPr>
          <w:sz w:val="24"/>
          <w:szCs w:val="24"/>
        </w:rPr>
        <w:t xml:space="preserve"> </w:t>
      </w:r>
      <w:r w:rsidRPr="00833778">
        <w:rPr>
          <w:sz w:val="24"/>
          <w:szCs w:val="24"/>
        </w:rPr>
        <w:t>6700</w:t>
      </w:r>
      <w:r w:rsidR="00592BE5" w:rsidRPr="00833778">
        <w:rPr>
          <w:sz w:val="24"/>
          <w:szCs w:val="24"/>
        </w:rPr>
        <w:t xml:space="preserve"> ansattte</w:t>
      </w:r>
      <w:r w:rsidRPr="00833778">
        <w:rPr>
          <w:sz w:val="24"/>
          <w:szCs w:val="24"/>
        </w:rPr>
        <w:t>. Væksten i de to første områder (Danmark og infrastruktur) har været konstant over de sidste år og involverer enorme materialestrømme af, hvad drivhusgasprotokollen ville betegne scope 3 emissioner. Forretningsområde Sverige involverer omkring 1000 medarbejdere og har været præget af en noget vaklende udvikling.</w:t>
      </w:r>
    </w:p>
    <w:p w14:paraId="45DF9D12" w14:textId="5762873C" w:rsidR="00D12303" w:rsidRPr="00833778" w:rsidRDefault="00D12303" w:rsidP="00D12303">
      <w:pPr>
        <w:rPr>
          <w:sz w:val="24"/>
          <w:szCs w:val="24"/>
        </w:rPr>
      </w:pPr>
      <w:r w:rsidRPr="00833778">
        <w:rPr>
          <w:sz w:val="24"/>
          <w:szCs w:val="24"/>
        </w:rPr>
        <w:t xml:space="preserve">I 2019 besluttede COWIs ledelse at sigte mod CO2-neutralitet i 2020 og at reducere den faktiske direkte og indirekte CO2-udledning med mere end 70 procent i 2030 i forhold til 2008. Kulstofneutralitet blev ifølge COWI opnået i 2020 takket være reduktionsindsatsen i </w:t>
      </w:r>
      <w:r w:rsidR="00592BE5" w:rsidRPr="00833778">
        <w:rPr>
          <w:sz w:val="24"/>
          <w:szCs w:val="24"/>
        </w:rPr>
        <w:t>disse år, som blandt andet omfattede</w:t>
      </w:r>
      <w:r w:rsidRPr="00833778">
        <w:rPr>
          <w:sz w:val="24"/>
          <w:szCs w:val="24"/>
        </w:rPr>
        <w:t xml:space="preserve"> redu</w:t>
      </w:r>
      <w:r w:rsidR="00592BE5" w:rsidRPr="00833778">
        <w:rPr>
          <w:sz w:val="24"/>
          <w:szCs w:val="24"/>
        </w:rPr>
        <w:t xml:space="preserve">ktion af </w:t>
      </w:r>
      <w:r w:rsidRPr="00833778">
        <w:rPr>
          <w:sz w:val="24"/>
          <w:szCs w:val="24"/>
        </w:rPr>
        <w:t>virksomhedsrejser på grund af COVID-19 og ved at erhverve CO2-kreditter (COWI årsrapport 2020). Denne neutralitet omfatter ikke scope 3-emissioner. I januar 2022 vakte en strategisk CEO-erklæring fra COWI opmærksomhed. Inden for få år meddelte COWI, at virksomheden vil vende ryggen til alt, hvad der ha</w:t>
      </w:r>
      <w:r w:rsidR="00592BE5" w:rsidRPr="00833778">
        <w:rPr>
          <w:sz w:val="24"/>
          <w:szCs w:val="24"/>
        </w:rPr>
        <w:t>vde</w:t>
      </w:r>
      <w:r w:rsidRPr="00833778">
        <w:rPr>
          <w:sz w:val="24"/>
          <w:szCs w:val="24"/>
        </w:rPr>
        <w:t xml:space="preserve"> med klimaskadelige projekter at gøre. Planen er ifølge COWI, at de skal omstrukturere forretningen over de næste tre-fem år. Den skal ikke længere beskæftige sig med fossil energi og byggeprojekter uden en bæredygtig tilgang. Den administrerende direktør lovede også at </w:t>
      </w:r>
      <w:r w:rsidR="00592BE5" w:rsidRPr="00833778">
        <w:rPr>
          <w:sz w:val="24"/>
          <w:szCs w:val="24"/>
        </w:rPr>
        <w:t>nedlægge</w:t>
      </w:r>
      <w:r w:rsidRPr="00833778">
        <w:rPr>
          <w:sz w:val="24"/>
          <w:szCs w:val="24"/>
        </w:rPr>
        <w:t xml:space="preserve"> et forretningsområde med naturgas. Udfordret på deres hovedforretningsområde "store broer" skelnede den administrerende direktør mellem bæredygtighed og CO2-reduktioner (Andersen 2022)</w:t>
      </w:r>
      <w:r w:rsidR="00592BE5" w:rsidRPr="00833778">
        <w:rPr>
          <w:sz w:val="24"/>
          <w:szCs w:val="24"/>
        </w:rPr>
        <w:t xml:space="preserve"> og fastholdt</w:t>
      </w:r>
      <w:r w:rsidRPr="00833778">
        <w:rPr>
          <w:sz w:val="24"/>
          <w:szCs w:val="24"/>
        </w:rPr>
        <w:t>, at COWI stadig vil beskæftige sig med at lave store broer.</w:t>
      </w:r>
    </w:p>
    <w:p w14:paraId="2E999C33" w14:textId="42304689" w:rsidR="00D12303" w:rsidRPr="00833778" w:rsidRDefault="00D12303" w:rsidP="00D12303">
      <w:pPr>
        <w:rPr>
          <w:sz w:val="24"/>
          <w:szCs w:val="24"/>
        </w:rPr>
      </w:pPr>
      <w:r w:rsidRPr="00833778">
        <w:rPr>
          <w:sz w:val="24"/>
          <w:szCs w:val="24"/>
        </w:rPr>
        <w:t>Der er flere grunde til, at denne strategi ikke er knyttet til EU-taksonomien. For det første er COWI ikke en børsnoteret virksomhed, for det andet er de som rådgivende ingeniørvirksomhed ikke på nuværende tidspunkt en del af taksonomidækningen. Alligevel er COWI som en stor virksomhed under lup af danske myndigheder sammen med 100 andre store virksomheder med sæde i Danmark</w:t>
      </w:r>
      <w:r w:rsidR="00592BE5" w:rsidRPr="00833778">
        <w:rPr>
          <w:sz w:val="24"/>
          <w:szCs w:val="24"/>
        </w:rPr>
        <w:t xml:space="preserve"> (Erhvervsstyrelsen 2021)</w:t>
      </w:r>
      <w:r w:rsidRPr="00833778">
        <w:rPr>
          <w:sz w:val="24"/>
          <w:szCs w:val="24"/>
        </w:rPr>
        <w:t xml:space="preserve">. Desuden kunne COWI vælge at følge taksonomien, især i scope 3-området, hvor bygninger, de designer, placeres. Bygninger er </w:t>
      </w:r>
      <w:r w:rsidR="00592BE5" w:rsidRPr="00833778">
        <w:rPr>
          <w:sz w:val="24"/>
          <w:szCs w:val="24"/>
        </w:rPr>
        <w:t>dækket</w:t>
      </w:r>
      <w:r w:rsidRPr="00833778">
        <w:rPr>
          <w:sz w:val="24"/>
          <w:szCs w:val="24"/>
        </w:rPr>
        <w:t xml:space="preserve"> af taksonomien. En konkurrent på det nordiske marked, AFRY, ser ud til at have engageret sig mere dybt i rapporteringen af ​​CO2e-udledning. Annonceringen af ​​COWIs administrerende direktør udløste straks spørgsmål fra samarbejdspartnere, der blev bekymrede for, hvordan COWIs </w:t>
      </w:r>
      <w:r w:rsidR="00B4070A" w:rsidRPr="00833778">
        <w:rPr>
          <w:sz w:val="24"/>
          <w:szCs w:val="24"/>
        </w:rPr>
        <w:t>strategiændring</w:t>
      </w:r>
      <w:r w:rsidRPr="00833778">
        <w:rPr>
          <w:sz w:val="24"/>
          <w:szCs w:val="24"/>
        </w:rPr>
        <w:t xml:space="preserve"> ville påvirke deres egen forretning.</w:t>
      </w:r>
    </w:p>
    <w:p w14:paraId="72607DDE" w14:textId="6B1B3DB8" w:rsidR="00D12303" w:rsidRPr="00833778" w:rsidRDefault="00D12303" w:rsidP="00D12303">
      <w:pPr>
        <w:rPr>
          <w:sz w:val="24"/>
          <w:szCs w:val="24"/>
        </w:rPr>
      </w:pPr>
      <w:r w:rsidRPr="00833778">
        <w:rPr>
          <w:sz w:val="24"/>
          <w:szCs w:val="24"/>
        </w:rPr>
        <w:t>Sammenfattende</w:t>
      </w:r>
      <w:r w:rsidR="00B4070A" w:rsidRPr="00833778">
        <w:rPr>
          <w:sz w:val="24"/>
          <w:szCs w:val="24"/>
        </w:rPr>
        <w:t>, kan det siges at</w:t>
      </w:r>
      <w:r w:rsidRPr="00833778">
        <w:rPr>
          <w:sz w:val="24"/>
          <w:szCs w:val="24"/>
        </w:rPr>
        <w:t xml:space="preserve"> selvom der er en risiko for, at CEO-meddelelsen ikke bliver fulgt op af konkrete handlinger og resultater, vurderer vi stadig, at meddelelsen har placeret COWI som en f</w:t>
      </w:r>
      <w:r w:rsidR="00B4070A" w:rsidRPr="00833778">
        <w:rPr>
          <w:sz w:val="24"/>
          <w:szCs w:val="24"/>
        </w:rPr>
        <w:t>ront</w:t>
      </w:r>
      <w:r w:rsidRPr="00833778">
        <w:rPr>
          <w:sz w:val="24"/>
          <w:szCs w:val="24"/>
        </w:rPr>
        <w:t>løber for en bæredygtig omstilling af byggebranchen.</w:t>
      </w:r>
    </w:p>
    <w:p w14:paraId="0F1BAD70" w14:textId="178C9C3D" w:rsidR="00B4070A" w:rsidRDefault="00B4070A" w:rsidP="00D12303">
      <w:pPr>
        <w:rPr>
          <w:rFonts w:ascii="Times New Roman" w:hAnsi="Times New Roman"/>
          <w:sz w:val="24"/>
          <w:szCs w:val="24"/>
        </w:rPr>
      </w:pPr>
      <w:r>
        <w:rPr>
          <w:rFonts w:ascii="Times New Roman" w:hAnsi="Times New Roman"/>
          <w:sz w:val="24"/>
          <w:szCs w:val="24"/>
        </w:rPr>
        <w:t>Som det er fremgået arbejder COWI ikke med scope 3 kravstilling og har derfor heller ikke stillet krav til sine underleverandører (uanset størrelse) med tanke på byggeri.</w:t>
      </w:r>
    </w:p>
    <w:p w14:paraId="540D158E" w14:textId="77777777" w:rsidR="00D12303" w:rsidRPr="00BF1FB3" w:rsidRDefault="00D12303" w:rsidP="00974818">
      <w:pPr>
        <w:rPr>
          <w:rFonts w:ascii="Times New Roman" w:hAnsi="Times New Roman"/>
          <w:sz w:val="24"/>
          <w:szCs w:val="24"/>
        </w:rPr>
      </w:pPr>
    </w:p>
    <w:p w14:paraId="437FECA2" w14:textId="77777777" w:rsidR="007A4016" w:rsidRDefault="007A4016" w:rsidP="007A4016">
      <w:pPr>
        <w:spacing w:after="0" w:line="240" w:lineRule="auto"/>
      </w:pPr>
      <w:r>
        <w:t>POINTE</w:t>
      </w:r>
    </w:p>
    <w:p w14:paraId="1DA5CC95" w14:textId="4423C6CC" w:rsidR="007A4016" w:rsidRDefault="007A4016" w:rsidP="007A4016">
      <w:pPr>
        <w:spacing w:after="0" w:line="240" w:lineRule="auto"/>
      </w:pPr>
      <w:r>
        <w:t>Nogen virksomheder mener ikke /er ikke dækket af taxonomien (COWI) ,taxonomien virker ujævnt på bygge- og ejendomsbranchen.</w:t>
      </w:r>
    </w:p>
    <w:p w14:paraId="3D31E8A4" w14:textId="5110E31D" w:rsidR="00974818" w:rsidRPr="00DE14A5" w:rsidRDefault="0040460C" w:rsidP="00974818">
      <w:pPr>
        <w:rPr>
          <w:rFonts w:ascii="Times New Roman" w:hAnsi="Times New Roman"/>
          <w:sz w:val="24"/>
          <w:szCs w:val="24"/>
        </w:rPr>
      </w:pPr>
      <w:r>
        <w:rPr>
          <w:rFonts w:ascii="Times New Roman" w:hAnsi="Times New Roman"/>
          <w:sz w:val="24"/>
          <w:szCs w:val="24"/>
        </w:rPr>
        <w:t xml:space="preserve"> </w:t>
      </w:r>
    </w:p>
    <w:p w14:paraId="3EB69F63" w14:textId="77777777" w:rsidR="00974818" w:rsidRPr="00833778" w:rsidRDefault="00974818" w:rsidP="00974818">
      <w:pPr>
        <w:rPr>
          <w:sz w:val="24"/>
          <w:szCs w:val="24"/>
          <w:lang w:val="en-US"/>
        </w:rPr>
      </w:pPr>
      <w:r w:rsidRPr="00833778">
        <w:rPr>
          <w:sz w:val="24"/>
          <w:szCs w:val="24"/>
          <w:lang w:val="en-US"/>
        </w:rPr>
        <w:t xml:space="preserve">Entreprenører </w:t>
      </w:r>
    </w:p>
    <w:p w14:paraId="44306108" w14:textId="77777777" w:rsidR="00974818" w:rsidRPr="00833778" w:rsidRDefault="00974818" w:rsidP="00974818">
      <w:pPr>
        <w:rPr>
          <w:sz w:val="24"/>
          <w:szCs w:val="24"/>
          <w:lang w:val="en-US"/>
        </w:rPr>
      </w:pPr>
    </w:p>
    <w:tbl>
      <w:tblPr>
        <w:tblW w:w="4972" w:type="dxa"/>
        <w:tblLook w:val="04A0" w:firstRow="1" w:lastRow="0" w:firstColumn="1" w:lastColumn="0" w:noHBand="0" w:noVBand="1"/>
      </w:tblPr>
      <w:tblGrid>
        <w:gridCol w:w="2157"/>
        <w:gridCol w:w="1150"/>
        <w:gridCol w:w="848"/>
        <w:gridCol w:w="1003"/>
      </w:tblGrid>
      <w:tr w:rsidR="00974818" w:rsidRPr="00833778" w14:paraId="6D20527C" w14:textId="77777777" w:rsidTr="00E04892">
        <w:trPr>
          <w:trHeight w:val="288"/>
        </w:trPr>
        <w:tc>
          <w:tcPr>
            <w:tcW w:w="1976" w:type="dxa"/>
            <w:tcBorders>
              <w:top w:val="single" w:sz="8" w:space="0" w:color="auto"/>
              <w:left w:val="single" w:sz="8" w:space="0" w:color="auto"/>
              <w:bottom w:val="nil"/>
              <w:right w:val="nil"/>
            </w:tcBorders>
            <w:shd w:val="clear" w:color="auto" w:fill="auto"/>
            <w:noWrap/>
            <w:vAlign w:val="bottom"/>
            <w:hideMark/>
          </w:tcPr>
          <w:p w14:paraId="0F07432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c>
          <w:tcPr>
            <w:tcW w:w="1993" w:type="dxa"/>
            <w:gridSpan w:val="2"/>
            <w:tcBorders>
              <w:top w:val="single" w:sz="8" w:space="0" w:color="auto"/>
              <w:left w:val="nil"/>
              <w:bottom w:val="nil"/>
              <w:right w:val="nil"/>
            </w:tcBorders>
            <w:shd w:val="clear" w:color="auto" w:fill="auto"/>
            <w:noWrap/>
            <w:vAlign w:val="bottom"/>
            <w:hideMark/>
          </w:tcPr>
          <w:p w14:paraId="24A80171" w14:textId="77777777" w:rsidR="00974818" w:rsidRPr="00833778" w:rsidRDefault="00974818" w:rsidP="00E04892">
            <w:pPr>
              <w:spacing w:after="0" w:line="240" w:lineRule="auto"/>
              <w:rPr>
                <w:rFonts w:eastAsia="Times New Roman"/>
                <w:b/>
                <w:bCs/>
                <w:color w:val="000000"/>
                <w:sz w:val="24"/>
                <w:szCs w:val="24"/>
              </w:rPr>
            </w:pPr>
            <w:r w:rsidRPr="00833778">
              <w:rPr>
                <w:rFonts w:eastAsia="Times New Roman"/>
                <w:b/>
                <w:bCs/>
                <w:color w:val="000000"/>
                <w:sz w:val="24"/>
                <w:szCs w:val="24"/>
              </w:rPr>
              <w:t>Obligatory</w:t>
            </w:r>
          </w:p>
        </w:tc>
        <w:tc>
          <w:tcPr>
            <w:tcW w:w="1003" w:type="dxa"/>
            <w:tcBorders>
              <w:top w:val="single" w:sz="8" w:space="0" w:color="auto"/>
              <w:left w:val="nil"/>
              <w:bottom w:val="nil"/>
              <w:right w:val="single" w:sz="8" w:space="0" w:color="auto"/>
            </w:tcBorders>
            <w:shd w:val="clear" w:color="auto" w:fill="auto"/>
            <w:noWrap/>
            <w:vAlign w:val="bottom"/>
            <w:hideMark/>
          </w:tcPr>
          <w:p w14:paraId="5C4C1075"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r>
      <w:tr w:rsidR="00974818" w:rsidRPr="00833778" w14:paraId="44903E2D"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0C09542A"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c>
          <w:tcPr>
            <w:tcW w:w="2996" w:type="dxa"/>
            <w:gridSpan w:val="3"/>
            <w:tcBorders>
              <w:top w:val="nil"/>
              <w:left w:val="nil"/>
              <w:bottom w:val="nil"/>
              <w:right w:val="single" w:sz="8" w:space="0" w:color="000000"/>
            </w:tcBorders>
            <w:shd w:val="clear" w:color="auto" w:fill="auto"/>
            <w:noWrap/>
            <w:vAlign w:val="bottom"/>
            <w:hideMark/>
          </w:tcPr>
          <w:p w14:paraId="5CEE7F23" w14:textId="77777777" w:rsidR="00974818" w:rsidRPr="00833778" w:rsidRDefault="00974818" w:rsidP="00E04892">
            <w:pPr>
              <w:spacing w:after="0" w:line="240" w:lineRule="auto"/>
              <w:rPr>
                <w:rFonts w:eastAsia="Times New Roman"/>
                <w:b/>
                <w:bCs/>
                <w:color w:val="000000"/>
                <w:sz w:val="24"/>
                <w:szCs w:val="24"/>
              </w:rPr>
            </w:pPr>
            <w:r w:rsidRPr="00833778">
              <w:rPr>
                <w:rFonts w:eastAsia="Times New Roman"/>
                <w:b/>
                <w:bCs/>
                <w:color w:val="000000"/>
                <w:sz w:val="24"/>
                <w:szCs w:val="24"/>
              </w:rPr>
              <w:t xml:space="preserve">compliance Tax 2021 </w:t>
            </w:r>
          </w:p>
        </w:tc>
      </w:tr>
      <w:tr w:rsidR="00974818" w:rsidRPr="00833778" w14:paraId="12C8819F"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6CAE23BB" w14:textId="77777777" w:rsidR="00974818" w:rsidRPr="00833778" w:rsidRDefault="00974818" w:rsidP="00E04892">
            <w:pPr>
              <w:spacing w:after="0" w:line="240" w:lineRule="auto"/>
              <w:rPr>
                <w:rFonts w:eastAsia="Times New Roman"/>
                <w:b/>
                <w:bCs/>
                <w:color w:val="000000"/>
                <w:sz w:val="24"/>
                <w:szCs w:val="24"/>
              </w:rPr>
            </w:pPr>
            <w:r w:rsidRPr="00833778">
              <w:rPr>
                <w:rFonts w:eastAsia="Times New Roman"/>
                <w:b/>
                <w:bCs/>
                <w:color w:val="000000"/>
                <w:sz w:val="24"/>
                <w:szCs w:val="24"/>
                <w:lang w:val="sv-SE"/>
              </w:rPr>
              <w:t>Acto</w:t>
            </w:r>
            <w:r w:rsidRPr="00833778">
              <w:rPr>
                <w:rFonts w:eastAsia="Times New Roman"/>
                <w:b/>
                <w:bCs/>
                <w:color w:val="000000"/>
                <w:sz w:val="24"/>
                <w:szCs w:val="24"/>
              </w:rPr>
              <w:t>r</w:t>
            </w:r>
          </w:p>
        </w:tc>
        <w:tc>
          <w:tcPr>
            <w:tcW w:w="1993" w:type="dxa"/>
            <w:gridSpan w:val="2"/>
            <w:tcBorders>
              <w:top w:val="nil"/>
              <w:left w:val="nil"/>
              <w:bottom w:val="nil"/>
              <w:right w:val="nil"/>
            </w:tcBorders>
            <w:shd w:val="clear" w:color="auto" w:fill="auto"/>
            <w:noWrap/>
            <w:vAlign w:val="bottom"/>
            <w:hideMark/>
          </w:tcPr>
          <w:p w14:paraId="6F9D9F89"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xml:space="preserve">percentage </w:t>
            </w:r>
            <w:r w:rsidRPr="00833778">
              <w:rPr>
                <w:rFonts w:eastAsia="Times New Roman"/>
                <w:b/>
                <w:bCs/>
                <w:color w:val="000000"/>
                <w:sz w:val="24"/>
                <w:szCs w:val="24"/>
              </w:rPr>
              <w:t xml:space="preserve">eligible </w:t>
            </w:r>
          </w:p>
        </w:tc>
        <w:tc>
          <w:tcPr>
            <w:tcW w:w="1003" w:type="dxa"/>
            <w:tcBorders>
              <w:top w:val="nil"/>
              <w:left w:val="nil"/>
              <w:bottom w:val="nil"/>
              <w:right w:val="single" w:sz="8" w:space="0" w:color="auto"/>
            </w:tcBorders>
            <w:shd w:val="clear" w:color="auto" w:fill="auto"/>
            <w:noWrap/>
            <w:vAlign w:val="bottom"/>
            <w:hideMark/>
          </w:tcPr>
          <w:p w14:paraId="0CFE4C79"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r>
      <w:tr w:rsidR="00974818" w:rsidRPr="00833778" w14:paraId="52F4F08F"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31216510"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w:t>
            </w:r>
          </w:p>
        </w:tc>
        <w:tc>
          <w:tcPr>
            <w:tcW w:w="1150" w:type="dxa"/>
            <w:tcBorders>
              <w:top w:val="nil"/>
              <w:left w:val="nil"/>
              <w:bottom w:val="nil"/>
              <w:right w:val="nil"/>
            </w:tcBorders>
            <w:shd w:val="clear" w:color="auto" w:fill="auto"/>
            <w:noWrap/>
            <w:vAlign w:val="bottom"/>
            <w:hideMark/>
          </w:tcPr>
          <w:p w14:paraId="692EE86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Revenue</w:t>
            </w:r>
          </w:p>
        </w:tc>
        <w:tc>
          <w:tcPr>
            <w:tcW w:w="843" w:type="dxa"/>
            <w:tcBorders>
              <w:top w:val="nil"/>
              <w:left w:val="nil"/>
              <w:bottom w:val="nil"/>
              <w:right w:val="nil"/>
            </w:tcBorders>
            <w:shd w:val="clear" w:color="auto" w:fill="auto"/>
            <w:noWrap/>
            <w:vAlign w:val="bottom"/>
            <w:hideMark/>
          </w:tcPr>
          <w:p w14:paraId="4796D691"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OPEX</w:t>
            </w:r>
          </w:p>
        </w:tc>
        <w:tc>
          <w:tcPr>
            <w:tcW w:w="1003" w:type="dxa"/>
            <w:tcBorders>
              <w:top w:val="nil"/>
              <w:left w:val="nil"/>
              <w:bottom w:val="nil"/>
              <w:right w:val="single" w:sz="8" w:space="0" w:color="auto"/>
            </w:tcBorders>
            <w:shd w:val="clear" w:color="auto" w:fill="auto"/>
            <w:noWrap/>
            <w:vAlign w:val="bottom"/>
            <w:hideMark/>
          </w:tcPr>
          <w:p w14:paraId="00B24B07"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CAPEX</w:t>
            </w:r>
          </w:p>
        </w:tc>
      </w:tr>
      <w:tr w:rsidR="00974818" w:rsidRPr="00833778" w14:paraId="135D36B7"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19BD6D74"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JM AB</w:t>
            </w:r>
          </w:p>
        </w:tc>
        <w:tc>
          <w:tcPr>
            <w:tcW w:w="1150" w:type="dxa"/>
            <w:tcBorders>
              <w:top w:val="nil"/>
              <w:left w:val="nil"/>
              <w:bottom w:val="nil"/>
              <w:right w:val="nil"/>
            </w:tcBorders>
            <w:shd w:val="clear" w:color="auto" w:fill="auto"/>
            <w:noWrap/>
            <w:vAlign w:val="bottom"/>
            <w:hideMark/>
          </w:tcPr>
          <w:p w14:paraId="131CAF5E"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92</w:t>
            </w:r>
          </w:p>
        </w:tc>
        <w:tc>
          <w:tcPr>
            <w:tcW w:w="843" w:type="dxa"/>
            <w:tcBorders>
              <w:top w:val="nil"/>
              <w:left w:val="nil"/>
              <w:bottom w:val="nil"/>
              <w:right w:val="nil"/>
            </w:tcBorders>
            <w:shd w:val="clear" w:color="auto" w:fill="auto"/>
            <w:noWrap/>
            <w:vAlign w:val="bottom"/>
            <w:hideMark/>
          </w:tcPr>
          <w:p w14:paraId="4E8073C7"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0</w:t>
            </w:r>
          </w:p>
        </w:tc>
        <w:tc>
          <w:tcPr>
            <w:tcW w:w="1003" w:type="dxa"/>
            <w:tcBorders>
              <w:top w:val="nil"/>
              <w:left w:val="nil"/>
              <w:bottom w:val="nil"/>
              <w:right w:val="single" w:sz="8" w:space="0" w:color="auto"/>
            </w:tcBorders>
            <w:shd w:val="clear" w:color="auto" w:fill="auto"/>
            <w:noWrap/>
            <w:vAlign w:val="bottom"/>
            <w:hideMark/>
          </w:tcPr>
          <w:p w14:paraId="30E66FD6"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0</w:t>
            </w:r>
          </w:p>
        </w:tc>
      </w:tr>
      <w:tr w:rsidR="00974818" w:rsidRPr="00833778" w14:paraId="70F8DFC4"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7A08D960"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Skanska</w:t>
            </w:r>
          </w:p>
        </w:tc>
        <w:tc>
          <w:tcPr>
            <w:tcW w:w="1150" w:type="dxa"/>
            <w:tcBorders>
              <w:top w:val="nil"/>
              <w:left w:val="nil"/>
              <w:bottom w:val="nil"/>
              <w:right w:val="nil"/>
            </w:tcBorders>
            <w:shd w:val="clear" w:color="auto" w:fill="auto"/>
            <w:noWrap/>
            <w:vAlign w:val="bottom"/>
            <w:hideMark/>
          </w:tcPr>
          <w:p w14:paraId="40884258"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56</w:t>
            </w:r>
          </w:p>
        </w:tc>
        <w:tc>
          <w:tcPr>
            <w:tcW w:w="843" w:type="dxa"/>
            <w:tcBorders>
              <w:top w:val="nil"/>
              <w:left w:val="nil"/>
              <w:bottom w:val="nil"/>
              <w:right w:val="nil"/>
            </w:tcBorders>
            <w:shd w:val="clear" w:color="auto" w:fill="auto"/>
            <w:noWrap/>
            <w:vAlign w:val="bottom"/>
            <w:hideMark/>
          </w:tcPr>
          <w:p w14:paraId="4665F738"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0</w:t>
            </w:r>
          </w:p>
        </w:tc>
        <w:tc>
          <w:tcPr>
            <w:tcW w:w="1003" w:type="dxa"/>
            <w:tcBorders>
              <w:top w:val="nil"/>
              <w:left w:val="nil"/>
              <w:bottom w:val="nil"/>
              <w:right w:val="single" w:sz="8" w:space="0" w:color="auto"/>
            </w:tcBorders>
            <w:shd w:val="clear" w:color="auto" w:fill="auto"/>
            <w:noWrap/>
            <w:vAlign w:val="bottom"/>
            <w:hideMark/>
          </w:tcPr>
          <w:p w14:paraId="50CA0399"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90</w:t>
            </w:r>
          </w:p>
        </w:tc>
      </w:tr>
      <w:tr w:rsidR="00974818" w:rsidRPr="00833778" w14:paraId="67B1E34E"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16AD6495"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NCC</w:t>
            </w:r>
          </w:p>
        </w:tc>
        <w:tc>
          <w:tcPr>
            <w:tcW w:w="1150" w:type="dxa"/>
            <w:tcBorders>
              <w:top w:val="nil"/>
              <w:left w:val="nil"/>
              <w:bottom w:val="nil"/>
              <w:right w:val="nil"/>
            </w:tcBorders>
            <w:shd w:val="clear" w:color="auto" w:fill="auto"/>
            <w:noWrap/>
            <w:vAlign w:val="bottom"/>
            <w:hideMark/>
          </w:tcPr>
          <w:p w14:paraId="14F85DB5"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77</w:t>
            </w:r>
          </w:p>
        </w:tc>
        <w:tc>
          <w:tcPr>
            <w:tcW w:w="843" w:type="dxa"/>
            <w:tcBorders>
              <w:top w:val="nil"/>
              <w:left w:val="nil"/>
              <w:bottom w:val="nil"/>
              <w:right w:val="nil"/>
            </w:tcBorders>
            <w:shd w:val="clear" w:color="auto" w:fill="auto"/>
            <w:noWrap/>
            <w:vAlign w:val="bottom"/>
            <w:hideMark/>
          </w:tcPr>
          <w:p w14:paraId="172F975D"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89</w:t>
            </w:r>
          </w:p>
        </w:tc>
        <w:tc>
          <w:tcPr>
            <w:tcW w:w="1003" w:type="dxa"/>
            <w:tcBorders>
              <w:top w:val="nil"/>
              <w:left w:val="nil"/>
              <w:bottom w:val="nil"/>
              <w:right w:val="single" w:sz="8" w:space="0" w:color="auto"/>
            </w:tcBorders>
            <w:shd w:val="clear" w:color="auto" w:fill="auto"/>
            <w:noWrap/>
            <w:vAlign w:val="bottom"/>
            <w:hideMark/>
          </w:tcPr>
          <w:p w14:paraId="17CE7D84"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37</w:t>
            </w:r>
          </w:p>
        </w:tc>
      </w:tr>
      <w:tr w:rsidR="00974818" w:rsidRPr="00833778" w14:paraId="73934B3E"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2E6A0393"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PEAB</w:t>
            </w:r>
          </w:p>
        </w:tc>
        <w:tc>
          <w:tcPr>
            <w:tcW w:w="1150" w:type="dxa"/>
            <w:tcBorders>
              <w:top w:val="nil"/>
              <w:left w:val="nil"/>
              <w:bottom w:val="nil"/>
              <w:right w:val="nil"/>
            </w:tcBorders>
            <w:shd w:val="clear" w:color="auto" w:fill="auto"/>
            <w:noWrap/>
            <w:vAlign w:val="bottom"/>
            <w:hideMark/>
          </w:tcPr>
          <w:p w14:paraId="3417E8E2"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62</w:t>
            </w:r>
          </w:p>
        </w:tc>
        <w:tc>
          <w:tcPr>
            <w:tcW w:w="843" w:type="dxa"/>
            <w:tcBorders>
              <w:top w:val="nil"/>
              <w:left w:val="nil"/>
              <w:bottom w:val="nil"/>
              <w:right w:val="nil"/>
            </w:tcBorders>
            <w:shd w:val="clear" w:color="auto" w:fill="auto"/>
            <w:noWrap/>
            <w:vAlign w:val="bottom"/>
            <w:hideMark/>
          </w:tcPr>
          <w:p w14:paraId="144DEEB6"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32</w:t>
            </w:r>
          </w:p>
        </w:tc>
        <w:tc>
          <w:tcPr>
            <w:tcW w:w="1003" w:type="dxa"/>
            <w:tcBorders>
              <w:top w:val="nil"/>
              <w:left w:val="nil"/>
              <w:bottom w:val="nil"/>
              <w:right w:val="single" w:sz="8" w:space="0" w:color="auto"/>
            </w:tcBorders>
            <w:shd w:val="clear" w:color="auto" w:fill="auto"/>
            <w:noWrap/>
            <w:vAlign w:val="bottom"/>
            <w:hideMark/>
          </w:tcPr>
          <w:p w14:paraId="0CCB6FF9"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68</w:t>
            </w:r>
          </w:p>
        </w:tc>
      </w:tr>
      <w:tr w:rsidR="00974818" w:rsidRPr="00833778" w14:paraId="2C9B3929"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74BA74AB"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 xml:space="preserve">Veidekke </w:t>
            </w:r>
          </w:p>
        </w:tc>
        <w:tc>
          <w:tcPr>
            <w:tcW w:w="1150" w:type="dxa"/>
            <w:tcBorders>
              <w:top w:val="nil"/>
              <w:left w:val="nil"/>
              <w:bottom w:val="nil"/>
              <w:right w:val="nil"/>
            </w:tcBorders>
            <w:shd w:val="clear" w:color="auto" w:fill="auto"/>
            <w:noWrap/>
            <w:vAlign w:val="bottom"/>
            <w:hideMark/>
          </w:tcPr>
          <w:p w14:paraId="301ABABC"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89</w:t>
            </w:r>
          </w:p>
        </w:tc>
        <w:tc>
          <w:tcPr>
            <w:tcW w:w="843" w:type="dxa"/>
            <w:tcBorders>
              <w:top w:val="nil"/>
              <w:left w:val="nil"/>
              <w:bottom w:val="nil"/>
              <w:right w:val="nil"/>
            </w:tcBorders>
            <w:shd w:val="clear" w:color="auto" w:fill="auto"/>
            <w:noWrap/>
            <w:vAlign w:val="bottom"/>
            <w:hideMark/>
          </w:tcPr>
          <w:p w14:paraId="0C7A8675"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91</w:t>
            </w:r>
          </w:p>
        </w:tc>
        <w:tc>
          <w:tcPr>
            <w:tcW w:w="1003" w:type="dxa"/>
            <w:tcBorders>
              <w:top w:val="nil"/>
              <w:left w:val="nil"/>
              <w:bottom w:val="nil"/>
              <w:right w:val="single" w:sz="8" w:space="0" w:color="auto"/>
            </w:tcBorders>
            <w:shd w:val="clear" w:color="auto" w:fill="auto"/>
            <w:noWrap/>
            <w:vAlign w:val="bottom"/>
            <w:hideMark/>
          </w:tcPr>
          <w:p w14:paraId="5384E6E8"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85</w:t>
            </w:r>
          </w:p>
        </w:tc>
      </w:tr>
      <w:tr w:rsidR="00974818" w:rsidRPr="00833778" w14:paraId="2EFE0B80"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59EC9C6E"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Wästbygg</w:t>
            </w:r>
          </w:p>
        </w:tc>
        <w:tc>
          <w:tcPr>
            <w:tcW w:w="1150" w:type="dxa"/>
            <w:tcBorders>
              <w:top w:val="nil"/>
              <w:left w:val="nil"/>
              <w:bottom w:val="nil"/>
              <w:right w:val="nil"/>
            </w:tcBorders>
            <w:shd w:val="clear" w:color="auto" w:fill="auto"/>
            <w:noWrap/>
            <w:vAlign w:val="bottom"/>
            <w:hideMark/>
          </w:tcPr>
          <w:p w14:paraId="653A0D30"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100</w:t>
            </w:r>
          </w:p>
        </w:tc>
        <w:tc>
          <w:tcPr>
            <w:tcW w:w="843" w:type="dxa"/>
            <w:tcBorders>
              <w:top w:val="nil"/>
              <w:left w:val="nil"/>
              <w:bottom w:val="nil"/>
              <w:right w:val="nil"/>
            </w:tcBorders>
            <w:shd w:val="clear" w:color="auto" w:fill="auto"/>
            <w:noWrap/>
            <w:vAlign w:val="bottom"/>
            <w:hideMark/>
          </w:tcPr>
          <w:p w14:paraId="7F18D37C"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100</w:t>
            </w:r>
          </w:p>
        </w:tc>
        <w:tc>
          <w:tcPr>
            <w:tcW w:w="1003" w:type="dxa"/>
            <w:tcBorders>
              <w:top w:val="nil"/>
              <w:left w:val="nil"/>
              <w:bottom w:val="nil"/>
              <w:right w:val="single" w:sz="8" w:space="0" w:color="auto"/>
            </w:tcBorders>
            <w:shd w:val="clear" w:color="auto" w:fill="auto"/>
            <w:noWrap/>
            <w:vAlign w:val="bottom"/>
            <w:hideMark/>
          </w:tcPr>
          <w:p w14:paraId="76762F35"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100</w:t>
            </w:r>
          </w:p>
        </w:tc>
      </w:tr>
      <w:tr w:rsidR="00974818" w:rsidRPr="00833778" w14:paraId="427F69E6"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630C021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Ratos/Hent/Vestia</w:t>
            </w:r>
          </w:p>
        </w:tc>
        <w:tc>
          <w:tcPr>
            <w:tcW w:w="1150" w:type="dxa"/>
            <w:tcBorders>
              <w:top w:val="nil"/>
              <w:left w:val="nil"/>
              <w:bottom w:val="nil"/>
              <w:right w:val="nil"/>
            </w:tcBorders>
            <w:shd w:val="clear" w:color="auto" w:fill="auto"/>
            <w:noWrap/>
            <w:vAlign w:val="bottom"/>
            <w:hideMark/>
          </w:tcPr>
          <w:p w14:paraId="5EB92F54"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49</w:t>
            </w:r>
          </w:p>
        </w:tc>
        <w:tc>
          <w:tcPr>
            <w:tcW w:w="843" w:type="dxa"/>
            <w:tcBorders>
              <w:top w:val="nil"/>
              <w:left w:val="nil"/>
              <w:bottom w:val="nil"/>
              <w:right w:val="nil"/>
            </w:tcBorders>
            <w:shd w:val="clear" w:color="auto" w:fill="auto"/>
            <w:noWrap/>
            <w:vAlign w:val="bottom"/>
            <w:hideMark/>
          </w:tcPr>
          <w:p w14:paraId="015996D7"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17</w:t>
            </w:r>
          </w:p>
        </w:tc>
        <w:tc>
          <w:tcPr>
            <w:tcW w:w="1003" w:type="dxa"/>
            <w:tcBorders>
              <w:top w:val="nil"/>
              <w:left w:val="nil"/>
              <w:bottom w:val="nil"/>
              <w:right w:val="single" w:sz="8" w:space="0" w:color="auto"/>
            </w:tcBorders>
            <w:shd w:val="clear" w:color="auto" w:fill="auto"/>
            <w:noWrap/>
            <w:vAlign w:val="bottom"/>
            <w:hideMark/>
          </w:tcPr>
          <w:p w14:paraId="64FC6A1B"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7</w:t>
            </w:r>
          </w:p>
        </w:tc>
      </w:tr>
      <w:tr w:rsidR="00974818" w:rsidRPr="00833778" w14:paraId="085D6056" w14:textId="77777777" w:rsidTr="00E04892">
        <w:trPr>
          <w:trHeight w:val="288"/>
        </w:trPr>
        <w:tc>
          <w:tcPr>
            <w:tcW w:w="1976" w:type="dxa"/>
            <w:tcBorders>
              <w:top w:val="nil"/>
              <w:left w:val="single" w:sz="8" w:space="0" w:color="auto"/>
              <w:bottom w:val="nil"/>
              <w:right w:val="nil"/>
            </w:tcBorders>
            <w:shd w:val="clear" w:color="auto" w:fill="auto"/>
            <w:noWrap/>
            <w:vAlign w:val="bottom"/>
            <w:hideMark/>
          </w:tcPr>
          <w:p w14:paraId="2D0E6490"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Hent/Vestia</w:t>
            </w:r>
          </w:p>
        </w:tc>
        <w:tc>
          <w:tcPr>
            <w:tcW w:w="1150" w:type="dxa"/>
            <w:tcBorders>
              <w:top w:val="nil"/>
              <w:left w:val="nil"/>
              <w:bottom w:val="nil"/>
              <w:right w:val="nil"/>
            </w:tcBorders>
            <w:shd w:val="clear" w:color="auto" w:fill="auto"/>
            <w:noWrap/>
            <w:vAlign w:val="bottom"/>
            <w:hideMark/>
          </w:tcPr>
          <w:p w14:paraId="1C34B125"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100</w:t>
            </w:r>
          </w:p>
        </w:tc>
        <w:tc>
          <w:tcPr>
            <w:tcW w:w="843" w:type="dxa"/>
            <w:tcBorders>
              <w:top w:val="nil"/>
              <w:left w:val="nil"/>
              <w:bottom w:val="nil"/>
              <w:right w:val="nil"/>
            </w:tcBorders>
            <w:shd w:val="clear" w:color="auto" w:fill="auto"/>
            <w:noWrap/>
            <w:vAlign w:val="bottom"/>
            <w:hideMark/>
          </w:tcPr>
          <w:p w14:paraId="2C7CA133" w14:textId="179CC16F" w:rsidR="00974818" w:rsidRPr="00833778" w:rsidRDefault="00833778" w:rsidP="00E04892">
            <w:pPr>
              <w:spacing w:after="0" w:line="240" w:lineRule="auto"/>
              <w:rPr>
                <w:rFonts w:eastAsia="Times New Roman"/>
                <w:color w:val="000000"/>
                <w:sz w:val="24"/>
                <w:szCs w:val="24"/>
              </w:rPr>
            </w:pPr>
            <w:r>
              <w:rPr>
                <w:rFonts w:eastAsia="Times New Roman"/>
                <w:color w:val="000000"/>
                <w:sz w:val="24"/>
                <w:szCs w:val="24"/>
              </w:rPr>
              <w:t>D</w:t>
            </w:r>
            <w:r w:rsidR="00974818" w:rsidRPr="00833778">
              <w:rPr>
                <w:rFonts w:eastAsia="Times New Roman"/>
                <w:color w:val="000000"/>
                <w:sz w:val="24"/>
                <w:szCs w:val="24"/>
              </w:rPr>
              <w:t>elvis</w:t>
            </w:r>
          </w:p>
        </w:tc>
        <w:tc>
          <w:tcPr>
            <w:tcW w:w="1003" w:type="dxa"/>
            <w:tcBorders>
              <w:top w:val="nil"/>
              <w:left w:val="nil"/>
              <w:bottom w:val="nil"/>
              <w:right w:val="single" w:sz="8" w:space="0" w:color="auto"/>
            </w:tcBorders>
            <w:shd w:val="clear" w:color="auto" w:fill="auto"/>
            <w:noWrap/>
            <w:vAlign w:val="bottom"/>
            <w:hideMark/>
          </w:tcPr>
          <w:p w14:paraId="4440E350"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Delvis</w:t>
            </w:r>
          </w:p>
        </w:tc>
      </w:tr>
      <w:tr w:rsidR="00974818" w:rsidRPr="00833778" w14:paraId="4EF0CF0F" w14:textId="77777777" w:rsidTr="00E04892">
        <w:trPr>
          <w:trHeight w:val="193"/>
        </w:trPr>
        <w:tc>
          <w:tcPr>
            <w:tcW w:w="1976" w:type="dxa"/>
            <w:tcBorders>
              <w:top w:val="nil"/>
              <w:left w:val="single" w:sz="8" w:space="0" w:color="auto"/>
              <w:bottom w:val="nil"/>
              <w:right w:val="nil"/>
            </w:tcBorders>
            <w:shd w:val="clear" w:color="auto" w:fill="auto"/>
            <w:noWrap/>
            <w:hideMark/>
          </w:tcPr>
          <w:p w14:paraId="014588C8"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MTH- Holding</w:t>
            </w:r>
          </w:p>
        </w:tc>
        <w:tc>
          <w:tcPr>
            <w:tcW w:w="1150" w:type="dxa"/>
            <w:tcBorders>
              <w:top w:val="nil"/>
              <w:left w:val="nil"/>
              <w:bottom w:val="nil"/>
              <w:right w:val="nil"/>
            </w:tcBorders>
            <w:shd w:val="clear" w:color="auto" w:fill="auto"/>
            <w:noWrap/>
            <w:hideMark/>
          </w:tcPr>
          <w:p w14:paraId="639D0359"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82</w:t>
            </w:r>
          </w:p>
        </w:tc>
        <w:tc>
          <w:tcPr>
            <w:tcW w:w="843" w:type="dxa"/>
            <w:tcBorders>
              <w:top w:val="nil"/>
              <w:left w:val="nil"/>
              <w:bottom w:val="nil"/>
              <w:right w:val="nil"/>
            </w:tcBorders>
            <w:shd w:val="clear" w:color="auto" w:fill="auto"/>
            <w:noWrap/>
            <w:hideMark/>
          </w:tcPr>
          <w:p w14:paraId="19964AFF"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96</w:t>
            </w:r>
          </w:p>
        </w:tc>
        <w:tc>
          <w:tcPr>
            <w:tcW w:w="1003" w:type="dxa"/>
            <w:tcBorders>
              <w:top w:val="nil"/>
              <w:left w:val="nil"/>
              <w:bottom w:val="nil"/>
              <w:right w:val="single" w:sz="8" w:space="0" w:color="auto"/>
            </w:tcBorders>
            <w:shd w:val="clear" w:color="auto" w:fill="auto"/>
            <w:noWrap/>
            <w:hideMark/>
          </w:tcPr>
          <w:p w14:paraId="35C7D987"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59</w:t>
            </w:r>
          </w:p>
        </w:tc>
      </w:tr>
      <w:tr w:rsidR="00974818" w:rsidRPr="00833778" w14:paraId="78C0E2B9" w14:textId="77777777" w:rsidTr="00E04892">
        <w:trPr>
          <w:trHeight w:val="300"/>
        </w:trPr>
        <w:tc>
          <w:tcPr>
            <w:tcW w:w="1976" w:type="dxa"/>
            <w:tcBorders>
              <w:top w:val="nil"/>
              <w:left w:val="single" w:sz="8" w:space="0" w:color="auto"/>
              <w:bottom w:val="single" w:sz="8" w:space="0" w:color="auto"/>
              <w:right w:val="nil"/>
            </w:tcBorders>
            <w:shd w:val="clear" w:color="auto" w:fill="auto"/>
            <w:noWrap/>
            <w:hideMark/>
          </w:tcPr>
          <w:p w14:paraId="07444313" w14:textId="77777777" w:rsidR="00974818" w:rsidRPr="00833778" w:rsidRDefault="00974818" w:rsidP="00E04892">
            <w:pPr>
              <w:spacing w:after="0" w:line="240" w:lineRule="auto"/>
              <w:rPr>
                <w:rFonts w:eastAsia="Times New Roman"/>
                <w:color w:val="000000"/>
                <w:sz w:val="24"/>
                <w:szCs w:val="24"/>
              </w:rPr>
            </w:pPr>
            <w:r w:rsidRPr="00833778">
              <w:rPr>
                <w:rFonts w:eastAsia="Times New Roman"/>
                <w:color w:val="000000"/>
                <w:sz w:val="24"/>
                <w:szCs w:val="24"/>
              </w:rPr>
              <w:t>MTH internation.</w:t>
            </w:r>
          </w:p>
        </w:tc>
        <w:tc>
          <w:tcPr>
            <w:tcW w:w="1150" w:type="dxa"/>
            <w:tcBorders>
              <w:top w:val="nil"/>
              <w:left w:val="nil"/>
              <w:bottom w:val="single" w:sz="8" w:space="0" w:color="auto"/>
              <w:right w:val="nil"/>
            </w:tcBorders>
            <w:shd w:val="clear" w:color="auto" w:fill="auto"/>
            <w:noWrap/>
            <w:hideMark/>
          </w:tcPr>
          <w:p w14:paraId="60CDF476"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69</w:t>
            </w:r>
          </w:p>
        </w:tc>
        <w:tc>
          <w:tcPr>
            <w:tcW w:w="843" w:type="dxa"/>
            <w:tcBorders>
              <w:top w:val="nil"/>
              <w:left w:val="nil"/>
              <w:bottom w:val="single" w:sz="8" w:space="0" w:color="auto"/>
              <w:right w:val="nil"/>
            </w:tcBorders>
            <w:shd w:val="clear" w:color="auto" w:fill="auto"/>
            <w:noWrap/>
            <w:hideMark/>
          </w:tcPr>
          <w:p w14:paraId="5828346C"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100</w:t>
            </w:r>
          </w:p>
        </w:tc>
        <w:tc>
          <w:tcPr>
            <w:tcW w:w="1003" w:type="dxa"/>
            <w:tcBorders>
              <w:top w:val="nil"/>
              <w:left w:val="nil"/>
              <w:bottom w:val="single" w:sz="8" w:space="0" w:color="auto"/>
              <w:right w:val="single" w:sz="8" w:space="0" w:color="auto"/>
            </w:tcBorders>
            <w:shd w:val="clear" w:color="auto" w:fill="auto"/>
            <w:noWrap/>
            <w:hideMark/>
          </w:tcPr>
          <w:p w14:paraId="1970001C" w14:textId="77777777" w:rsidR="00974818" w:rsidRPr="00833778" w:rsidRDefault="00974818" w:rsidP="00E04892">
            <w:pPr>
              <w:spacing w:after="0" w:line="240" w:lineRule="auto"/>
              <w:jc w:val="right"/>
              <w:rPr>
                <w:rFonts w:eastAsia="Times New Roman"/>
                <w:color w:val="000000"/>
                <w:sz w:val="24"/>
                <w:szCs w:val="24"/>
              </w:rPr>
            </w:pPr>
            <w:r w:rsidRPr="00833778">
              <w:rPr>
                <w:rFonts w:eastAsia="Times New Roman"/>
                <w:color w:val="000000"/>
                <w:sz w:val="24"/>
                <w:szCs w:val="24"/>
              </w:rPr>
              <w:t>65</w:t>
            </w:r>
          </w:p>
        </w:tc>
      </w:tr>
    </w:tbl>
    <w:p w14:paraId="1AC6C806" w14:textId="37584E92" w:rsidR="00974818" w:rsidRPr="00833778" w:rsidRDefault="00974818" w:rsidP="00974818">
      <w:pPr>
        <w:rPr>
          <w:sz w:val="18"/>
          <w:szCs w:val="18"/>
        </w:rPr>
      </w:pPr>
      <w:r w:rsidRPr="00833778">
        <w:rPr>
          <w:sz w:val="18"/>
          <w:szCs w:val="18"/>
        </w:rPr>
        <w:t>Tab</w:t>
      </w:r>
      <w:r w:rsidR="00A746EF" w:rsidRPr="00833778">
        <w:rPr>
          <w:sz w:val="18"/>
          <w:szCs w:val="18"/>
        </w:rPr>
        <w:t>e</w:t>
      </w:r>
      <w:r w:rsidRPr="00833778">
        <w:rPr>
          <w:sz w:val="18"/>
          <w:szCs w:val="18"/>
        </w:rPr>
        <w:t xml:space="preserve">l </w:t>
      </w:r>
      <w:r w:rsidR="005B1AC3" w:rsidRPr="00833778">
        <w:rPr>
          <w:sz w:val="18"/>
          <w:szCs w:val="18"/>
        </w:rPr>
        <w:t>7</w:t>
      </w:r>
      <w:r w:rsidRPr="00833778">
        <w:rPr>
          <w:sz w:val="18"/>
          <w:szCs w:val="18"/>
        </w:rPr>
        <w:t xml:space="preserve"> </w:t>
      </w:r>
      <w:r w:rsidR="00A746EF" w:rsidRPr="00833778">
        <w:rPr>
          <w:sz w:val="18"/>
          <w:szCs w:val="18"/>
        </w:rPr>
        <w:t>Entreprenører</w:t>
      </w:r>
      <w:r w:rsidR="00D12303" w:rsidRPr="00833778">
        <w:rPr>
          <w:sz w:val="18"/>
          <w:szCs w:val="18"/>
        </w:rPr>
        <w:t xml:space="preserve"> i Sverige</w:t>
      </w:r>
      <w:r w:rsidR="002D743A" w:rsidRPr="00833778">
        <w:rPr>
          <w:sz w:val="18"/>
          <w:szCs w:val="18"/>
        </w:rPr>
        <w:t xml:space="preserve"> dækning af taxonomi</w:t>
      </w:r>
      <w:r w:rsidR="00D12303" w:rsidRPr="00833778">
        <w:rPr>
          <w:sz w:val="18"/>
          <w:szCs w:val="18"/>
        </w:rPr>
        <w:t xml:space="preserve"> </w:t>
      </w:r>
    </w:p>
    <w:p w14:paraId="74900FCD" w14:textId="77777777" w:rsidR="00974818" w:rsidRPr="00DE14A5" w:rsidRDefault="00974818" w:rsidP="00974818">
      <w:pPr>
        <w:rPr>
          <w:rFonts w:ascii="Times New Roman" w:hAnsi="Times New Roman"/>
          <w:sz w:val="24"/>
          <w:szCs w:val="24"/>
        </w:rPr>
      </w:pPr>
    </w:p>
    <w:p w14:paraId="55BB2FB8" w14:textId="288E6650" w:rsidR="00974818" w:rsidRDefault="00974818" w:rsidP="00974818">
      <w:r>
        <w:t>POINTE:</w:t>
      </w:r>
      <w:r w:rsidR="003E6C6B">
        <w:t xml:space="preserve"> </w:t>
      </w:r>
      <w:r>
        <w:t xml:space="preserve">Ejendomsforvaltere- og udviklere har bevæget sig markant de senere år i retning af grønne lån, og grøn finansiering </w:t>
      </w:r>
    </w:p>
    <w:p w14:paraId="0922969D" w14:textId="77777777" w:rsidR="00974818" w:rsidRDefault="00974818" w:rsidP="00974818">
      <w:r>
        <w:t>Taxonomien er kun et redskab ud af flere og ”sammenstilles” med GRI, GHG, Science Based Targets, FN, SDG m.m.m.</w:t>
      </w:r>
    </w:p>
    <w:p w14:paraId="0EF8C6AD" w14:textId="77777777" w:rsidR="00974818" w:rsidRPr="00167F2B" w:rsidRDefault="00974818" w:rsidP="00974818">
      <w:pPr>
        <w:rPr>
          <w:rFonts w:ascii="Times New Roman" w:hAnsi="Times New Roman"/>
        </w:rPr>
      </w:pPr>
      <w:r>
        <w:rPr>
          <w:rFonts w:ascii="Times New Roman" w:hAnsi="Times New Roman"/>
        </w:rPr>
        <w:t>Banklån er et finansieringsredskab med måske 20% markedsandel indenfor långivning til B kunder (business)</w:t>
      </w:r>
    </w:p>
    <w:p w14:paraId="78EA92D1" w14:textId="5AF81327" w:rsidR="00974818" w:rsidRDefault="00974818" w:rsidP="00974818">
      <w:r>
        <w:t>Begrænset kobling fra</w:t>
      </w:r>
      <w:r w:rsidR="0040460C">
        <w:t xml:space="preserve"> </w:t>
      </w:r>
      <w:r>
        <w:t>måling af bæredygtighed til bæredygtighedsstrategi</w:t>
      </w:r>
    </w:p>
    <w:p w14:paraId="5A0F5010" w14:textId="77777777" w:rsidR="00974818" w:rsidRDefault="00974818" w:rsidP="00974818">
      <w:pPr>
        <w:spacing w:after="0" w:line="240" w:lineRule="auto"/>
      </w:pPr>
    </w:p>
    <w:p w14:paraId="187F64A2" w14:textId="77777777" w:rsidR="00974818" w:rsidRDefault="00974818" w:rsidP="00974818">
      <w:pPr>
        <w:spacing w:after="0" w:line="240" w:lineRule="auto"/>
      </w:pPr>
    </w:p>
    <w:p w14:paraId="6A446720" w14:textId="2E300B11" w:rsidR="00974818" w:rsidRPr="00C809B9" w:rsidRDefault="00974818" w:rsidP="00833778">
      <w:pPr>
        <w:pStyle w:val="Overskrift3"/>
      </w:pPr>
      <w:bookmarkStart w:id="15" w:name="_Toc112184351"/>
      <w:r w:rsidRPr="00C809B9">
        <w:t>1.3.3</w:t>
      </w:r>
      <w:r w:rsidR="00833778">
        <w:t>.2</w:t>
      </w:r>
      <w:r w:rsidR="0040460C" w:rsidRPr="00C809B9">
        <w:t xml:space="preserve"> </w:t>
      </w:r>
      <w:r w:rsidR="00A746EF" w:rsidRPr="00C809B9">
        <w:t xml:space="preserve">Case: </w:t>
      </w:r>
      <w:r w:rsidRPr="00C809B9">
        <w:t>Wästbygg</w:t>
      </w:r>
      <w:bookmarkEnd w:id="15"/>
    </w:p>
    <w:p w14:paraId="5D199328" w14:textId="46B71064" w:rsidR="009C7B3B" w:rsidRPr="00DE14A5" w:rsidRDefault="00974818" w:rsidP="009C7B3B">
      <w:pPr>
        <w:rPr>
          <w:rFonts w:cstheme="minorHAnsi"/>
        </w:rPr>
      </w:pPr>
      <w:r w:rsidRPr="00DE14A5">
        <w:rPr>
          <w:rFonts w:cstheme="minorHAnsi"/>
        </w:rPr>
        <w:t>Wästbygg er en børsnoteret entreprenør med hovedsæde i Borås.</w:t>
      </w:r>
      <w:r w:rsidR="009C7B3B" w:rsidRPr="00DE14A5">
        <w:rPr>
          <w:rFonts w:cstheme="minorHAnsi"/>
        </w:rPr>
        <w:t xml:space="preserve"> Wästbygg, er altså en vestsvensk entreprenør, som er vokset markant de sidste ti år fra en omsætning i 2012 på 1,1 milliarder til 3,8 milliarder svenske kroner i 2020 og 2021. Desuden har virksomheden omstruktureret fra et personligt ejet selskab, solgt i 2013, til at blive en børsnoteret</w:t>
      </w:r>
      <w:r w:rsidR="0040460C">
        <w:rPr>
          <w:rFonts w:cstheme="minorHAnsi"/>
        </w:rPr>
        <w:t xml:space="preserve"> </w:t>
      </w:r>
      <w:r w:rsidR="009C7B3B" w:rsidRPr="00DE14A5">
        <w:rPr>
          <w:rFonts w:cstheme="minorHAnsi"/>
        </w:rPr>
        <w:t>aktieselskab i 2021. Dens første uafhængige bæredygtighedsrapport blev udgivet i 2016. Et mål om at blive fossilfri i 2030 blev annonceret i 2017. Inden 2020 mål</w:t>
      </w:r>
      <w:r w:rsidR="009C4C3E" w:rsidRPr="00DE14A5">
        <w:rPr>
          <w:rFonts w:cstheme="minorHAnsi"/>
        </w:rPr>
        <w:t>te</w:t>
      </w:r>
      <w:r w:rsidR="009C7B3B" w:rsidRPr="00DE14A5">
        <w:rPr>
          <w:rFonts w:cstheme="minorHAnsi"/>
        </w:rPr>
        <w:t xml:space="preserve"> og rapportere</w:t>
      </w:r>
      <w:r w:rsidR="009C4C3E" w:rsidRPr="00DE14A5">
        <w:rPr>
          <w:rFonts w:cstheme="minorHAnsi"/>
        </w:rPr>
        <w:t>de</w:t>
      </w:r>
      <w:r w:rsidR="009C7B3B" w:rsidRPr="00DE14A5">
        <w:rPr>
          <w:rFonts w:cstheme="minorHAnsi"/>
        </w:rPr>
        <w:t xml:space="preserve"> virksomheden seks nøglepræstationsindikatorer for en entreprenørs bæredygtig</w:t>
      </w:r>
      <w:r w:rsidR="009C4C3E" w:rsidRPr="00DE14A5">
        <w:rPr>
          <w:rFonts w:cstheme="minorHAnsi"/>
        </w:rPr>
        <w:t>hed</w:t>
      </w:r>
      <w:r w:rsidR="009C7B3B" w:rsidRPr="00DE14A5">
        <w:rPr>
          <w:rFonts w:cstheme="minorHAnsi"/>
        </w:rPr>
        <w:t>, herunder affaldsmængder, materialetransport (dieselforbrug og emission), maskiner på stedet og foreløbig opvarmning af byggepladsen, el- og fjernvarmeforbrug og rejser, ved brug af en drivhusgasprotokol</w:t>
      </w:r>
      <w:r w:rsidR="009C4C3E" w:rsidRPr="00DE14A5">
        <w:rPr>
          <w:rFonts w:cstheme="minorHAnsi"/>
        </w:rPr>
        <w:t>len (GHP, WRI og WBCSD (2004)</w:t>
      </w:r>
      <w:r w:rsidR="009C7B3B" w:rsidRPr="00DE14A5">
        <w:rPr>
          <w:rFonts w:cstheme="minorHAnsi"/>
        </w:rPr>
        <w:t>. Resultaterne af de samlede emissioner for 2020 var 1 523 ton CO2e, hvilket var en reduktion på 32 procent sammenlignet med 2019, som var på 2253 ton CO2e (Wästbygg årsrapport 2020).</w:t>
      </w:r>
    </w:p>
    <w:p w14:paraId="49F95592" w14:textId="5EB01A4C" w:rsidR="009C4C3E" w:rsidRPr="009C4C3E" w:rsidRDefault="009C7B3B" w:rsidP="00DE14A5">
      <w:pPr>
        <w:rPr>
          <w:rFonts w:cstheme="minorHAnsi"/>
        </w:rPr>
      </w:pPr>
      <w:r w:rsidRPr="00DE14A5">
        <w:rPr>
          <w:rFonts w:cstheme="minorHAnsi"/>
        </w:rPr>
        <w:t xml:space="preserve">I foråret 2021 forberedte selskabet sig på at gå ind på Nasdaq-børsen. Som en del af dette blev der gennemført en forberedelse til brug af grøn finansiering. Ved at ansætte den eksterne evaluator Cicero Shades of Green, der brugte taksonomien, </w:t>
      </w:r>
      <w:r w:rsidR="009C4C3E">
        <w:rPr>
          <w:rFonts w:cstheme="minorHAnsi"/>
        </w:rPr>
        <w:t>fik W</w:t>
      </w:r>
      <w:r w:rsidR="009C4C3E" w:rsidRPr="00DE14A5">
        <w:rPr>
          <w:rFonts w:cstheme="minorHAnsi"/>
        </w:rPr>
        <w:t>äst bygg en for</w:t>
      </w:r>
      <w:r w:rsidR="009C4C3E">
        <w:rPr>
          <w:rFonts w:cstheme="minorHAnsi"/>
        </w:rPr>
        <w:t>håndsvurdering af virksomhedens stilling i forhold til taksonomien</w:t>
      </w:r>
      <w:r w:rsidR="00D12303">
        <w:rPr>
          <w:rFonts w:cstheme="minorHAnsi"/>
        </w:rPr>
        <w:t>.</w:t>
      </w:r>
      <w:r w:rsidR="0040460C">
        <w:rPr>
          <w:rFonts w:cstheme="minorHAnsi"/>
        </w:rPr>
        <w:t xml:space="preserve"> </w:t>
      </w:r>
      <w:r w:rsidR="00D12303">
        <w:rPr>
          <w:rFonts w:cstheme="minorHAnsi"/>
        </w:rPr>
        <w:t>Ci</w:t>
      </w:r>
      <w:r w:rsidR="009C4C3E" w:rsidRPr="009C4C3E">
        <w:rPr>
          <w:rFonts w:cstheme="minorHAnsi"/>
        </w:rPr>
        <w:t>cero fandt,</w:t>
      </w:r>
      <w:r w:rsidR="00D12303">
        <w:rPr>
          <w:rFonts w:cstheme="minorHAnsi"/>
        </w:rPr>
        <w:t xml:space="preserve"> ved hjælp af en</w:t>
      </w:r>
      <w:r w:rsidR="009C4C3E" w:rsidRPr="009C4C3E">
        <w:rPr>
          <w:rFonts w:cstheme="minorHAnsi"/>
        </w:rPr>
        <w:t xml:space="preserve"> kvalitative evaluering,</w:t>
      </w:r>
      <w:r w:rsidR="0040460C">
        <w:rPr>
          <w:rFonts w:cstheme="minorHAnsi"/>
        </w:rPr>
        <w:t xml:space="preserve"> </w:t>
      </w:r>
      <w:r w:rsidR="009C4C3E" w:rsidRPr="009C4C3E">
        <w:rPr>
          <w:rFonts w:cstheme="minorHAnsi"/>
        </w:rPr>
        <w:t xml:space="preserve">at </w:t>
      </w:r>
      <w:r w:rsidR="00D12303">
        <w:rPr>
          <w:rFonts w:cstheme="minorHAnsi"/>
        </w:rPr>
        <w:t xml:space="preserve">cirka </w:t>
      </w:r>
      <w:r w:rsidR="009C4C3E" w:rsidRPr="009C4C3E">
        <w:rPr>
          <w:rFonts w:cstheme="minorHAnsi"/>
        </w:rPr>
        <w:t>65 procent af indkomsten, 66 procent af driftsomkostningerne (OPEX) og 100 procent af investeringerne (CAPEX) fra Wästbyggs som helhed kunne identificeres som bæredygtige i henhold til taksonomien.</w:t>
      </w:r>
    </w:p>
    <w:p w14:paraId="7D54A098" w14:textId="51306896" w:rsidR="009C4C3E" w:rsidRPr="009C4C3E" w:rsidRDefault="009C4C3E" w:rsidP="009C4C3E">
      <w:pPr>
        <w:spacing w:after="0" w:line="240" w:lineRule="auto"/>
        <w:rPr>
          <w:rFonts w:cstheme="minorHAnsi"/>
        </w:rPr>
      </w:pPr>
      <w:r w:rsidRPr="009C4C3E">
        <w:rPr>
          <w:rFonts w:cstheme="minorHAnsi"/>
        </w:rPr>
        <w:t xml:space="preserve">I juni 2021 modtog Wästbygg Nasdaq Green Equity Designation. Denne </w:t>
      </w:r>
      <w:r w:rsidR="00D12303">
        <w:rPr>
          <w:rFonts w:cstheme="minorHAnsi"/>
        </w:rPr>
        <w:t>”certificering”</w:t>
      </w:r>
      <w:r w:rsidRPr="009C4C3E">
        <w:rPr>
          <w:rFonts w:cstheme="minorHAnsi"/>
        </w:rPr>
        <w:t xml:space="preserve"> er dedikeret til virksomheder med mere end 50 % af omsætningen optaget i bæredygtige aktiviteter, og investeringerne er overvejende foretaget i bæredygtig aktivitet. Omsætningen fra fossilt brændsel skal være mindre end fem procent.</w:t>
      </w:r>
    </w:p>
    <w:p w14:paraId="32A1F044" w14:textId="77777777" w:rsidR="009C4C3E" w:rsidRPr="009C4C3E" w:rsidRDefault="009C4C3E" w:rsidP="009C4C3E">
      <w:pPr>
        <w:spacing w:after="0" w:line="240" w:lineRule="auto"/>
        <w:rPr>
          <w:rFonts w:cstheme="minorHAnsi"/>
        </w:rPr>
      </w:pPr>
    </w:p>
    <w:p w14:paraId="098B1CB9" w14:textId="77777777" w:rsidR="009C4C3E" w:rsidRPr="009C4C3E" w:rsidRDefault="009C4C3E" w:rsidP="009C4C3E">
      <w:pPr>
        <w:spacing w:after="0" w:line="240" w:lineRule="auto"/>
        <w:rPr>
          <w:rFonts w:cstheme="minorHAnsi"/>
        </w:rPr>
      </w:pPr>
      <w:r w:rsidRPr="009C4C3E">
        <w:rPr>
          <w:rFonts w:cstheme="minorHAnsi"/>
        </w:rPr>
        <w:t>Cicero-evalueringen pegede på nogle få forbedringspunkter, såsom at ”Wästbygg skal identificere fysiske klimarisici og tilpasningsløsninger til deres aktiviteter. Virksomheden informerer om, at de vil udvikle en tilgang til at klimae risikovurderingerne i 2021” (Cicero Shades of Green 2021).</w:t>
      </w:r>
    </w:p>
    <w:p w14:paraId="671D8A11" w14:textId="2B50F155" w:rsidR="002D743A" w:rsidRDefault="009C4C3E" w:rsidP="009C4C3E">
      <w:pPr>
        <w:spacing w:after="0" w:line="240" w:lineRule="auto"/>
        <w:rPr>
          <w:rFonts w:cstheme="minorHAnsi"/>
        </w:rPr>
      </w:pPr>
      <w:r w:rsidRPr="009C4C3E">
        <w:rPr>
          <w:rFonts w:cstheme="minorHAnsi"/>
        </w:rPr>
        <w:t>I februar 2022 havde virksomheden opnået en højere grad af bæredygtighed som angivet i årsr</w:t>
      </w:r>
      <w:r w:rsidR="002D743A">
        <w:rPr>
          <w:rFonts w:cstheme="minorHAnsi"/>
        </w:rPr>
        <w:t>egnskabet</w:t>
      </w:r>
      <w:r w:rsidRPr="009C4C3E">
        <w:rPr>
          <w:rFonts w:cstheme="minorHAnsi"/>
        </w:rPr>
        <w:t xml:space="preserve"> for 2021. Samtidig meddelte virksomheden, at den anså alle sine aktiviteter for omfattet af EU-taksonomi, og at de offentligt ville dele deres status senere i foråret 2022. På grund af antallet af fuldtidsansatte, 350, var de dog ikke </w:t>
      </w:r>
      <w:r w:rsidR="002D743A">
        <w:rPr>
          <w:rFonts w:cstheme="minorHAnsi"/>
        </w:rPr>
        <w:t>forpligtede</w:t>
      </w:r>
      <w:r w:rsidRPr="009C4C3E">
        <w:rPr>
          <w:rFonts w:cstheme="minorHAnsi"/>
        </w:rPr>
        <w:t xml:space="preserve"> til at følge taksonomien.</w:t>
      </w:r>
      <w:r w:rsidR="002D743A">
        <w:rPr>
          <w:rFonts w:cstheme="minorHAnsi"/>
        </w:rPr>
        <w:t xml:space="preserve"> </w:t>
      </w:r>
      <w:r w:rsidRPr="009C4C3E">
        <w:rPr>
          <w:rFonts w:cstheme="minorHAnsi"/>
        </w:rPr>
        <w:t>At modtage Nasdaqs grønne egenkapital og gennemføre en Cicero-screening af aktiviteter i henhold til taksonomien i foråret og sommeren 2021 gør Wästbygg til en f</w:t>
      </w:r>
      <w:r w:rsidR="002D743A">
        <w:rPr>
          <w:rFonts w:cstheme="minorHAnsi"/>
        </w:rPr>
        <w:t>ront</w:t>
      </w:r>
      <w:r w:rsidRPr="009C4C3E">
        <w:rPr>
          <w:rFonts w:cstheme="minorHAnsi"/>
        </w:rPr>
        <w:t>løber, formentlig den første entreprenør til at nå så langt i Sverige.</w:t>
      </w:r>
      <w:r w:rsidR="0040460C">
        <w:rPr>
          <w:rFonts w:cstheme="minorHAnsi"/>
        </w:rPr>
        <w:t xml:space="preserve"> </w:t>
      </w:r>
    </w:p>
    <w:p w14:paraId="69B36918" w14:textId="77777777" w:rsidR="002D743A" w:rsidRDefault="002D743A" w:rsidP="009C4C3E">
      <w:pPr>
        <w:spacing w:after="0" w:line="240" w:lineRule="auto"/>
        <w:rPr>
          <w:rFonts w:cstheme="minorHAnsi"/>
        </w:rPr>
      </w:pPr>
    </w:p>
    <w:p w14:paraId="6B944D57" w14:textId="5C60442D" w:rsidR="007A4016" w:rsidRPr="002D743A" w:rsidRDefault="002D743A" w:rsidP="009C4C3E">
      <w:pPr>
        <w:spacing w:after="0" w:line="240" w:lineRule="auto"/>
        <w:rPr>
          <w:rFonts w:cstheme="minorHAnsi"/>
        </w:rPr>
      </w:pPr>
      <w:r>
        <w:rPr>
          <w:rFonts w:cstheme="minorHAnsi"/>
        </w:rPr>
        <w:t>W</w:t>
      </w:r>
      <w:r w:rsidRPr="00DE14A5">
        <w:rPr>
          <w:rFonts w:cstheme="minorHAnsi"/>
        </w:rPr>
        <w:t>ästbygg betjener sig af en lang r</w:t>
      </w:r>
      <w:r>
        <w:rPr>
          <w:rFonts w:cstheme="minorHAnsi"/>
        </w:rPr>
        <w:t>ække større og mindre underleverandør. Typisk håndværkervirksomheder indenfor byggebranschen. W</w:t>
      </w:r>
      <w:r w:rsidRPr="00DE14A5">
        <w:rPr>
          <w:rFonts w:cstheme="minorHAnsi"/>
        </w:rPr>
        <w:t>ästbygg</w:t>
      </w:r>
      <w:r w:rsidR="0040460C">
        <w:rPr>
          <w:rFonts w:cstheme="minorHAnsi"/>
        </w:rPr>
        <w:t xml:space="preserve"> </w:t>
      </w:r>
      <w:r w:rsidRPr="00DE14A5">
        <w:rPr>
          <w:rFonts w:cstheme="minorHAnsi"/>
        </w:rPr>
        <w:t>er qua sin monitoring ved hj</w:t>
      </w:r>
      <w:r>
        <w:rPr>
          <w:rFonts w:cstheme="minorHAnsi"/>
        </w:rPr>
        <w:t xml:space="preserve">ælp af GHP, scope 3 på vej til også at stille flere krav til sine leverandører, men taxonomien var ikke ved denne rapports færdiggørelse i sommeren 2022 indarbejdet i dette arbejde </w:t>
      </w:r>
    </w:p>
    <w:p w14:paraId="09A91348" w14:textId="1E2CF8B4" w:rsidR="007A4016" w:rsidRPr="009C4C3E" w:rsidRDefault="007A4016" w:rsidP="00974818">
      <w:pPr>
        <w:spacing w:after="0" w:line="240" w:lineRule="auto"/>
        <w:rPr>
          <w:rFonts w:cstheme="minorHAnsi"/>
        </w:rPr>
      </w:pPr>
    </w:p>
    <w:p w14:paraId="4412846A" w14:textId="77777777" w:rsidR="00974818" w:rsidRPr="00671C4D" w:rsidRDefault="00974818" w:rsidP="00974818">
      <w:pPr>
        <w:spacing w:after="0" w:line="240" w:lineRule="auto"/>
      </w:pPr>
    </w:p>
    <w:p w14:paraId="4E2222CC" w14:textId="77777777" w:rsidR="00974818" w:rsidRDefault="00974818" w:rsidP="00D64474">
      <w:pPr>
        <w:rPr>
          <w:b/>
          <w:bCs/>
        </w:rPr>
      </w:pPr>
    </w:p>
    <w:p w14:paraId="60E7E715" w14:textId="5E94FECC" w:rsidR="00572D8F" w:rsidRDefault="00DC7BBB" w:rsidP="00DC7BBB">
      <w:pPr>
        <w:pStyle w:val="Overskrift2"/>
        <w:rPr>
          <w:b/>
          <w:bCs/>
        </w:rPr>
      </w:pPr>
      <w:bookmarkStart w:id="16" w:name="_Toc112184352"/>
      <w:r w:rsidRPr="008A00D4">
        <w:rPr>
          <w:b/>
          <w:bCs/>
        </w:rPr>
        <w:t>1.</w:t>
      </w:r>
      <w:r w:rsidR="00572D8F">
        <w:rPr>
          <w:b/>
          <w:bCs/>
        </w:rPr>
        <w:t>4 Finanssektoren</w:t>
      </w:r>
      <w:bookmarkEnd w:id="16"/>
    </w:p>
    <w:p w14:paraId="0F563BFB" w14:textId="77777777" w:rsidR="00572D8F" w:rsidRPr="00572D8F" w:rsidRDefault="00572D8F" w:rsidP="00572D8F"/>
    <w:p w14:paraId="3C93C76A" w14:textId="46B48FD6" w:rsidR="00DC7BBB" w:rsidRDefault="00572D8F" w:rsidP="00572D8F">
      <w:pPr>
        <w:pStyle w:val="Overskrift3"/>
      </w:pPr>
      <w:bookmarkStart w:id="17" w:name="_Toc112184353"/>
      <w:r>
        <w:t>1.4</w:t>
      </w:r>
      <w:r w:rsidR="00DC7BBB">
        <w:t>.1</w:t>
      </w:r>
      <w:r w:rsidR="00DC7BBB" w:rsidRPr="008A00D4">
        <w:t xml:space="preserve"> Finanssektorens</w:t>
      </w:r>
      <w:r w:rsidR="0040460C">
        <w:t xml:space="preserve"> </w:t>
      </w:r>
      <w:r w:rsidR="00DC7BBB">
        <w:t>(DK) tolkning af EU lovpakken</w:t>
      </w:r>
      <w:r w:rsidR="0040460C">
        <w:t xml:space="preserve"> </w:t>
      </w:r>
      <w:r w:rsidR="00DC7BBB">
        <w:t xml:space="preserve">inkl </w:t>
      </w:r>
      <w:r w:rsidR="00DC7BBB" w:rsidRPr="008A00D4">
        <w:t>’grøn’ (’taksonomi’)</w:t>
      </w:r>
      <w:bookmarkEnd w:id="17"/>
    </w:p>
    <w:p w14:paraId="1CAAE532" w14:textId="247259B9" w:rsidR="00D664C6" w:rsidRDefault="0061600F" w:rsidP="00D64474">
      <w:pPr>
        <w:rPr>
          <w:sz w:val="24"/>
          <w:szCs w:val="24"/>
        </w:rPr>
      </w:pPr>
      <w:r w:rsidRPr="00DE14A5">
        <w:rPr>
          <w:sz w:val="24"/>
          <w:szCs w:val="24"/>
        </w:rPr>
        <w:t xml:space="preserve">I forbindelse med denne analyse har der været dialog, dels med finansielle institutter i programområdet i </w:t>
      </w:r>
      <w:r w:rsidR="00D664C6" w:rsidRPr="00DE14A5">
        <w:rPr>
          <w:sz w:val="24"/>
          <w:szCs w:val="24"/>
        </w:rPr>
        <w:t xml:space="preserve">forbindelse med projektmøde i Skjern dels en workshop afholdt i forbindelse med Baltic Round Table. </w:t>
      </w:r>
      <w:r w:rsidR="00280064">
        <w:rPr>
          <w:sz w:val="24"/>
          <w:szCs w:val="24"/>
        </w:rPr>
        <w:t>Der er gennemført et interview med Finansdanmark. Endelig her d</w:t>
      </w:r>
      <w:r w:rsidR="00D664C6" w:rsidRPr="00DE14A5">
        <w:rPr>
          <w:sz w:val="24"/>
          <w:szCs w:val="24"/>
        </w:rPr>
        <w:t>er har været dialog med Foreningen af Statsautoriserede Revisorer</w:t>
      </w:r>
      <w:r w:rsidR="00A11BF0" w:rsidRPr="00DE14A5">
        <w:rPr>
          <w:sz w:val="24"/>
          <w:szCs w:val="24"/>
        </w:rPr>
        <w:t xml:space="preserve"> og Erhvervssty</w:t>
      </w:r>
      <w:r w:rsidR="008A0322">
        <w:rPr>
          <w:sz w:val="24"/>
          <w:szCs w:val="24"/>
        </w:rPr>
        <w:t>r</w:t>
      </w:r>
      <w:r w:rsidR="00A11BF0" w:rsidRPr="00DE14A5">
        <w:rPr>
          <w:sz w:val="24"/>
          <w:szCs w:val="24"/>
        </w:rPr>
        <w:t xml:space="preserve">elsen, samt </w:t>
      </w:r>
      <w:r w:rsidR="008A0322">
        <w:rPr>
          <w:sz w:val="24"/>
          <w:szCs w:val="24"/>
        </w:rPr>
        <w:t xml:space="preserve">deltagelse ved </w:t>
      </w:r>
      <w:r w:rsidR="00A11BF0" w:rsidRPr="00DE14A5">
        <w:rPr>
          <w:sz w:val="24"/>
          <w:szCs w:val="24"/>
        </w:rPr>
        <w:t>oplæg ved KPMG i Aarhus Kommune.</w:t>
      </w:r>
    </w:p>
    <w:p w14:paraId="69BCE3D9" w14:textId="08EA9EC3" w:rsidR="008A0322" w:rsidRDefault="008A0322" w:rsidP="008A0322">
      <w:pPr>
        <w:spacing w:after="0" w:line="240" w:lineRule="auto"/>
      </w:pPr>
      <w:r>
        <w:t>FinansDanmark (bankernes interesseorganisation), Danske Bank og Jyske bank var tidligt ude med deres eget vurderingssystem medens den europæiske taksonomi og lovstiftning var under udarbejdelse.  Jyske Bank tog i 2019 initiativ til selv at opbygge et system som kunne vurdere graden af bæredygtigheden, mens Finansdanmark og Danske Bank startede lidt senere. Finansdanmarks system ”</w:t>
      </w:r>
      <w:r w:rsidRPr="00483416">
        <w:t>CO2-model for</w:t>
      </w:r>
      <w:r>
        <w:t xml:space="preserve"> </w:t>
      </w:r>
      <w:r w:rsidRPr="00483416">
        <w:t>den finansielle sektor</w:t>
      </w:r>
      <w:r>
        <w:t xml:space="preserve">. </w:t>
      </w:r>
      <w:r w:rsidRPr="00483416">
        <w:t>Principper og metoder for måling og opgørelse</w:t>
      </w:r>
      <w:r>
        <w:t xml:space="preserve"> </w:t>
      </w:r>
      <w:r w:rsidRPr="00483416">
        <w:t>af finansierede emissioner fra udlån og investeringer</w:t>
      </w:r>
      <w:r>
        <w:t>” var klar i 2020 (Finansdanmark 2020).</w:t>
      </w:r>
    </w:p>
    <w:p w14:paraId="0E7DE290" w14:textId="0DF705A2" w:rsidR="008A0322" w:rsidRDefault="008A0322" w:rsidP="008A0322">
      <w:pPr>
        <w:spacing w:after="0" w:line="240" w:lineRule="auto"/>
      </w:pPr>
      <w:r>
        <w:t>Finansdanmark havde succes med at ”sælge dette ind” til den danske regering, som igangssatte et udviklingsarbejde, der skulle understøtte vurderinger af graden af bæredygtighed. Denne indsats gik forud for taksonomiens vedtagelse i foråret 2020</w:t>
      </w:r>
      <w:r w:rsidR="00794C87">
        <w:t xml:space="preserve"> og har på den ene side hjulpet bankerne med at udvikle kompetencer i kvantitativ vurdering af bæredygtighedsgraden af lån. På den anden side stiller taksonomien som er et lovkrav til banker fra 1 januar 2023 nu banker overfor at skulle skifte system, eller arbejde med to parallelle systemer.</w:t>
      </w:r>
    </w:p>
    <w:p w14:paraId="0E6962EA" w14:textId="77777777" w:rsidR="008A0322" w:rsidRDefault="008A0322" w:rsidP="008A0322">
      <w:pPr>
        <w:spacing w:after="0" w:line="240" w:lineRule="auto"/>
      </w:pPr>
    </w:p>
    <w:p w14:paraId="7C04721D" w14:textId="589FC029" w:rsidR="008A0322" w:rsidRDefault="008A0322" w:rsidP="008A0322">
      <w:pPr>
        <w:spacing w:after="0" w:line="240" w:lineRule="auto"/>
      </w:pPr>
      <w:r>
        <w:t>IT understøttelse til datahåndtering ifbm taksonomien har også spillet en vigtig rolle. Flere banker arbejder sammen om IT understøttelse og dette ledte til samarbejde om IT analyse af data for taksonomivurderinger</w:t>
      </w:r>
      <w:r w:rsidR="00794C87">
        <w:t>.</w:t>
      </w:r>
      <w:r>
        <w:t xml:space="preserve"> </w:t>
      </w:r>
    </w:p>
    <w:p w14:paraId="51E8C43B" w14:textId="77777777" w:rsidR="008A0322" w:rsidRPr="00DE14A5" w:rsidRDefault="008A0322" w:rsidP="00D64474">
      <w:pPr>
        <w:rPr>
          <w:sz w:val="24"/>
          <w:szCs w:val="24"/>
        </w:rPr>
      </w:pPr>
    </w:p>
    <w:p w14:paraId="372437D7" w14:textId="0295CD0E" w:rsidR="00D664C6" w:rsidRPr="00833778" w:rsidRDefault="00D664C6" w:rsidP="00A51750">
      <w:pPr>
        <w:rPr>
          <w:rFonts w:eastAsiaTheme="minorHAnsi"/>
        </w:rPr>
      </w:pPr>
      <w:r w:rsidRPr="00833778">
        <w:t xml:space="preserve">I november 2021 var lokale bankers </w:t>
      </w:r>
      <w:r w:rsidRPr="00833778">
        <w:rPr>
          <w:rFonts w:eastAsia="Times New Roman"/>
        </w:rPr>
        <w:t xml:space="preserve">væsentligste fokus på kort sigt at kunne opgøre/estimere </w:t>
      </w:r>
      <w:r w:rsidR="008A0322" w:rsidRPr="00833778">
        <w:rPr>
          <w:rFonts w:eastAsia="Times New Roman"/>
        </w:rPr>
        <w:t>sine</w:t>
      </w:r>
      <w:r w:rsidRPr="00833778">
        <w:rPr>
          <w:rFonts w:eastAsia="Times New Roman"/>
        </w:rPr>
        <w:t xml:space="preserve"> kunders Co2-udledning ved udgangen af 2022. Dette udspringer af anbefaling nr. 5 fra Forum for Bæredygtig Finans og er således ikke koblet til den bæredygtighedsdefinition, der ligger i den nye taksonomilovgivning.</w:t>
      </w:r>
      <w:r w:rsidR="0040460C" w:rsidRPr="00833778">
        <w:rPr>
          <w:rFonts w:eastAsia="Times New Roman"/>
        </w:rPr>
        <w:t xml:space="preserve"> </w:t>
      </w:r>
      <w:r w:rsidRPr="00833778">
        <w:rPr>
          <w:rFonts w:eastAsia="Times New Roman"/>
        </w:rPr>
        <w:t>B</w:t>
      </w:r>
      <w:r w:rsidRPr="00833778">
        <w:t xml:space="preserve">eregningerne vil bl.a. blive lavet på baggrund i forholdsmæssige branchetal – og </w:t>
      </w:r>
      <w:r w:rsidR="00A11BF0" w:rsidRPr="00833778">
        <w:t>stiller</w:t>
      </w:r>
      <w:r w:rsidRPr="00833778">
        <w:t xml:space="preserve"> derfor ikke umiddelbart direkte krav til virksomhedernes rapportering.</w:t>
      </w:r>
    </w:p>
    <w:p w14:paraId="037F0B86" w14:textId="30B3C22F" w:rsidR="00D664C6" w:rsidRPr="00833778" w:rsidRDefault="00A11BF0" w:rsidP="00A51750">
      <w:pPr>
        <w:rPr>
          <w:rFonts w:eastAsia="Times New Roman"/>
        </w:rPr>
      </w:pPr>
      <w:r w:rsidRPr="00833778">
        <w:rPr>
          <w:rFonts w:eastAsiaTheme="minorHAnsi"/>
        </w:rPr>
        <w:t>Længere ud i fremtid vil taksonomien blive relevant, fordi ma</w:t>
      </w:r>
      <w:r w:rsidR="00E03DEC" w:rsidRPr="00833778">
        <w:rPr>
          <w:rFonts w:eastAsiaTheme="minorHAnsi"/>
        </w:rPr>
        <w:t xml:space="preserve">n </w:t>
      </w:r>
      <w:r w:rsidR="00E03DEC" w:rsidRPr="00833778">
        <w:rPr>
          <w:rFonts w:eastAsia="Times New Roman"/>
        </w:rPr>
        <w:t>i hvert fald mindre lokale banker først</w:t>
      </w:r>
      <w:r w:rsidR="00D664C6" w:rsidRPr="00833778">
        <w:rPr>
          <w:rFonts w:eastAsia="Times New Roman"/>
        </w:rPr>
        <w:t xml:space="preserve"> at blive berørt af implementeringen fra 2024. Den forventede løbende nedskalering af grænsen for hvornår virksomheder skal indgå i taksonomiforordningen (ej bestemt endnu) forventes derimod gradvist at kunne få større indflydelse – og dermed fokus.</w:t>
      </w:r>
    </w:p>
    <w:p w14:paraId="33E6E960" w14:textId="55EEBCE7" w:rsidR="00DC7BBB" w:rsidRPr="00DE14A5" w:rsidRDefault="00D664C6" w:rsidP="00E03DEC">
      <w:pPr>
        <w:rPr>
          <w:sz w:val="24"/>
          <w:szCs w:val="24"/>
        </w:rPr>
      </w:pPr>
      <w:r w:rsidRPr="00833778">
        <w:rPr>
          <w:rFonts w:eastAsia="Times New Roman"/>
        </w:rPr>
        <w:t xml:space="preserve">Selvom </w:t>
      </w:r>
      <w:r w:rsidR="00E03DEC" w:rsidRPr="00833778">
        <w:rPr>
          <w:rFonts w:eastAsia="Times New Roman"/>
        </w:rPr>
        <w:t>ikke er</w:t>
      </w:r>
      <w:r w:rsidRPr="00833778">
        <w:rPr>
          <w:rFonts w:eastAsia="Times New Roman"/>
        </w:rPr>
        <w:t xml:space="preserve"> direkte krav til rapporteringen fra virksomhederne i SMV-segmentet, så sætter opdateringen af Ledelsesbekendtgørelsen krav til et større ESG-fokus i bl.a. kreditbevillingerne. </w:t>
      </w:r>
      <w:r w:rsidR="00E03DEC" w:rsidRPr="00833778">
        <w:rPr>
          <w:rFonts w:eastAsia="Times New Roman"/>
        </w:rPr>
        <w:t>Derfor vil der måske en bevægelse i retning af at</w:t>
      </w:r>
      <w:r w:rsidR="008A0322" w:rsidRPr="00833778">
        <w:rPr>
          <w:rFonts w:eastAsia="Times New Roman"/>
        </w:rPr>
        <w:t xml:space="preserve"> </w:t>
      </w:r>
      <w:r w:rsidRPr="00833778">
        <w:rPr>
          <w:rFonts w:eastAsia="Times New Roman"/>
        </w:rPr>
        <w:t>bankerne for udvalgte kunder stiller individuelle krav om mere indsig</w:t>
      </w:r>
      <w:r w:rsidR="00E03DEC" w:rsidRPr="00833778">
        <w:rPr>
          <w:rFonts w:eastAsia="Times New Roman"/>
        </w:rPr>
        <w:t xml:space="preserve">t i og </w:t>
      </w:r>
      <w:r w:rsidRPr="00833778">
        <w:rPr>
          <w:rFonts w:eastAsia="Times New Roman"/>
        </w:rPr>
        <w:t>viden om deres ESG-forhold</w:t>
      </w:r>
      <w:r w:rsidR="00E03DEC" w:rsidRPr="00833778">
        <w:rPr>
          <w:rFonts w:eastAsia="Times New Roman"/>
        </w:rPr>
        <w:t>.</w:t>
      </w:r>
      <w:r w:rsidR="0040460C" w:rsidRPr="00833778">
        <w:rPr>
          <w:rFonts w:eastAsia="Times New Roman"/>
        </w:rPr>
        <w:t xml:space="preserve"> </w:t>
      </w:r>
      <w:r w:rsidR="00E03DEC" w:rsidRPr="00833778">
        <w:rPr>
          <w:rFonts w:eastAsia="Times New Roman"/>
        </w:rPr>
        <w:t xml:space="preserve">Bankerne er også sparringspartnere og </w:t>
      </w:r>
      <w:r w:rsidRPr="00833778">
        <w:rPr>
          <w:rFonts w:eastAsia="Times New Roman"/>
        </w:rPr>
        <w:t>interessenter</w:t>
      </w:r>
      <w:r w:rsidR="00E03DEC" w:rsidRPr="00833778">
        <w:rPr>
          <w:rFonts w:eastAsia="Times New Roman"/>
        </w:rPr>
        <w:t xml:space="preserve"> for sine kunder og som sådan er det positivt, hvis kunder</w:t>
      </w:r>
      <w:r w:rsidRPr="00833778">
        <w:rPr>
          <w:rFonts w:eastAsia="Times New Roman"/>
        </w:rPr>
        <w:t xml:space="preserve"> på den vis som giver mening for den enkelte virksomhed, får højnet fokus på </w:t>
      </w:r>
      <w:r w:rsidR="00E03DEC" w:rsidRPr="00833778">
        <w:rPr>
          <w:rFonts w:eastAsia="Times New Roman"/>
        </w:rPr>
        <w:t>bæredygtighed</w:t>
      </w:r>
      <w:r w:rsidRPr="00833778">
        <w:rPr>
          <w:rFonts w:eastAsia="Times New Roman"/>
        </w:rPr>
        <w:t>, da det alt andet lige forventes at må løfte konkurrencekraften fremadrettet</w:t>
      </w:r>
      <w:r w:rsidRPr="00DE14A5">
        <w:rPr>
          <w:rFonts w:eastAsia="Times New Roman"/>
          <w:sz w:val="24"/>
          <w:szCs w:val="24"/>
        </w:rPr>
        <w:t>.</w:t>
      </w:r>
    </w:p>
    <w:p w14:paraId="6B77DB5D" w14:textId="77777777" w:rsidR="0061600F" w:rsidRPr="00B703EE" w:rsidRDefault="0061600F" w:rsidP="00D64474"/>
    <w:p w14:paraId="6D900E26" w14:textId="579DE8DE" w:rsidR="00857E95" w:rsidRDefault="00857E95" w:rsidP="00DE14A5">
      <w:pPr>
        <w:pStyle w:val="Overskrift3"/>
      </w:pPr>
      <w:bookmarkStart w:id="18" w:name="_Toc112184354"/>
      <w:r w:rsidRPr="008A00D4">
        <w:t>1.</w:t>
      </w:r>
      <w:r w:rsidR="00572D8F">
        <w:t>4</w:t>
      </w:r>
      <w:r w:rsidR="00DC7BBB">
        <w:t>.2</w:t>
      </w:r>
      <w:r w:rsidRPr="008A00D4">
        <w:t xml:space="preserve"> Finanssektorens</w:t>
      </w:r>
      <w:r w:rsidR="0040460C">
        <w:t xml:space="preserve"> </w:t>
      </w:r>
      <w:r w:rsidR="008A00D4">
        <w:t>(SE) tolkning af EU lovpakken</w:t>
      </w:r>
      <w:r w:rsidR="0040460C">
        <w:t xml:space="preserve"> </w:t>
      </w:r>
      <w:r w:rsidR="008A00D4">
        <w:t xml:space="preserve">inkl </w:t>
      </w:r>
      <w:r w:rsidRPr="008A00D4">
        <w:t>’grøn’ (’taksonomi’)</w:t>
      </w:r>
      <w:bookmarkEnd w:id="18"/>
    </w:p>
    <w:p w14:paraId="38A986F1" w14:textId="18661C06" w:rsidR="00BC1BCD" w:rsidRPr="008A00D4" w:rsidRDefault="00F0666A" w:rsidP="008A00D4">
      <w:r>
        <w:t>Den svenske finanssektor var tidligt med i forhold til EUs udvikling af ny lovgivning med konsekvenserne for bankernes forretning. SEB deltog i EU platformen, altså den gruppe af erhvervslivsrepræsentanter, arbejdsmarkedsmarkedsorganisationer</w:t>
      </w:r>
      <w:r w:rsidR="0040460C">
        <w:t xml:space="preserve"> </w:t>
      </w:r>
      <w:r>
        <w:t>og forskere, der forbe</w:t>
      </w:r>
      <w:r w:rsidR="00794C87">
        <w:t>re</w:t>
      </w:r>
      <w:r>
        <w:t>dte taxonomien. Svenska Bankf</w:t>
      </w:r>
      <w:r w:rsidRPr="00DE14A5">
        <w:t>ö</w:t>
      </w:r>
      <w:r>
        <w:t>reningen, altså brancheorganisationen for banker i Sverige, afleverede sammen med ejendomssektorens interesseorganisation et høringssvar som uanset Svensk velforberedt på bæredygtighedskravene var blandt de få der argumenterede for</w:t>
      </w:r>
      <w:r w:rsidR="008A0322">
        <w:t xml:space="preserve"> </w:t>
      </w:r>
      <w:r w:rsidR="00BC1BCD">
        <w:t>slappere krav</w:t>
      </w:r>
      <w:r>
        <w:t xml:space="preserve"> til ejendomme</w:t>
      </w:r>
      <w:r w:rsidR="008A0322">
        <w:t>s</w:t>
      </w:r>
      <w:r>
        <w:t xml:space="preserve"> miljøperformance</w:t>
      </w:r>
      <w:r w:rsidR="00794C87">
        <w:t xml:space="preserve"> (</w:t>
      </w:r>
      <w:r w:rsidR="00794C87" w:rsidRPr="00794C87">
        <w:t>Schütze &amp; Stede 2021</w:t>
      </w:r>
      <w:r w:rsidR="00794C87">
        <w:t>).</w:t>
      </w:r>
      <w:r w:rsidR="008A0322">
        <w:t xml:space="preserve"> </w:t>
      </w:r>
    </w:p>
    <w:p w14:paraId="4C2B465D" w14:textId="61AE6EBB" w:rsidR="00E328FC" w:rsidRDefault="00E328FC" w:rsidP="00E328FC">
      <w:r>
        <w:t xml:space="preserve">Som det fremgår af tabellen nedenfor afgav bankerne præcise bud på deres grad afdækning af lovgivningen i årsregnskaberne for det finansielle år 2021 og det er bemærkelsesværdigt at dækningsgrad er lavere end 50% for alle banker. </w:t>
      </w:r>
    </w:p>
    <w:p w14:paraId="400944C4" w14:textId="77777777" w:rsidR="00E328FC" w:rsidRPr="00DE14A5" w:rsidRDefault="00E328FC" w:rsidP="008A00D4">
      <w:pPr>
        <w:rPr>
          <w:rFonts w:ascii="Times New Roman" w:hAnsi="Times New Roman"/>
          <w:sz w:val="24"/>
          <w:szCs w:val="24"/>
        </w:rPr>
      </w:pPr>
    </w:p>
    <w:p w14:paraId="243B17AB" w14:textId="1D20A251" w:rsidR="00A302BD" w:rsidRPr="00DE14A5" w:rsidRDefault="00A302BD" w:rsidP="00857E95">
      <w:pPr>
        <w:pStyle w:val="Overskrift2"/>
      </w:pPr>
    </w:p>
    <w:tbl>
      <w:tblPr>
        <w:tblW w:w="5430" w:type="dxa"/>
        <w:tblLook w:val="04A0" w:firstRow="1" w:lastRow="0" w:firstColumn="1" w:lastColumn="0" w:noHBand="0" w:noVBand="1"/>
      </w:tblPr>
      <w:tblGrid>
        <w:gridCol w:w="1700"/>
        <w:gridCol w:w="1613"/>
        <w:gridCol w:w="307"/>
        <w:gridCol w:w="1810"/>
      </w:tblGrid>
      <w:tr w:rsidR="00A302BD" w:rsidRPr="00650B18" w14:paraId="68787ED8" w14:textId="77777777" w:rsidTr="00E04892">
        <w:trPr>
          <w:trHeight w:val="288"/>
        </w:trPr>
        <w:tc>
          <w:tcPr>
            <w:tcW w:w="1700" w:type="dxa"/>
            <w:tcBorders>
              <w:top w:val="single" w:sz="8" w:space="0" w:color="auto"/>
              <w:left w:val="single" w:sz="8" w:space="0" w:color="auto"/>
              <w:bottom w:val="nil"/>
              <w:right w:val="nil"/>
            </w:tcBorders>
            <w:shd w:val="clear" w:color="auto" w:fill="auto"/>
            <w:noWrap/>
            <w:vAlign w:val="bottom"/>
            <w:hideMark/>
          </w:tcPr>
          <w:p w14:paraId="431FB761" w14:textId="77777777" w:rsidR="00A302BD" w:rsidRPr="00DE14A5" w:rsidRDefault="00A302BD" w:rsidP="00E04892">
            <w:pPr>
              <w:spacing w:after="0" w:line="240" w:lineRule="auto"/>
              <w:rPr>
                <w:rFonts w:ascii="Times New Roman" w:eastAsia="Times New Roman" w:hAnsi="Times New Roman"/>
                <w:color w:val="000000"/>
                <w:sz w:val="24"/>
                <w:szCs w:val="24"/>
              </w:rPr>
            </w:pPr>
            <w:r w:rsidRPr="00DE14A5">
              <w:rPr>
                <w:rFonts w:ascii="Times New Roman" w:eastAsia="Times New Roman" w:hAnsi="Times New Roman"/>
                <w:color w:val="000000"/>
                <w:sz w:val="24"/>
                <w:szCs w:val="24"/>
              </w:rPr>
              <w:t> </w:t>
            </w:r>
          </w:p>
        </w:tc>
        <w:tc>
          <w:tcPr>
            <w:tcW w:w="1920" w:type="dxa"/>
            <w:gridSpan w:val="2"/>
            <w:tcBorders>
              <w:top w:val="single" w:sz="8" w:space="0" w:color="auto"/>
              <w:left w:val="nil"/>
              <w:bottom w:val="nil"/>
              <w:right w:val="nil"/>
            </w:tcBorders>
            <w:shd w:val="clear" w:color="auto" w:fill="auto"/>
            <w:noWrap/>
            <w:vAlign w:val="bottom"/>
            <w:hideMark/>
          </w:tcPr>
          <w:p w14:paraId="32CAE4BF" w14:textId="77777777" w:rsidR="00A302BD" w:rsidRPr="00650B18" w:rsidRDefault="00A302BD" w:rsidP="00E04892">
            <w:pPr>
              <w:spacing w:after="0" w:line="240" w:lineRule="auto"/>
              <w:rPr>
                <w:rFonts w:ascii="Times New Roman" w:eastAsia="Times New Roman" w:hAnsi="Times New Roman"/>
                <w:b/>
                <w:bCs/>
                <w:color w:val="000000"/>
                <w:sz w:val="24"/>
                <w:szCs w:val="24"/>
              </w:rPr>
            </w:pPr>
            <w:r w:rsidRPr="00650B18">
              <w:rPr>
                <w:rFonts w:ascii="Times New Roman" w:eastAsia="Times New Roman" w:hAnsi="Times New Roman"/>
                <w:b/>
                <w:bCs/>
                <w:color w:val="000000"/>
                <w:sz w:val="24"/>
                <w:szCs w:val="24"/>
              </w:rPr>
              <w:t>Obligatory</w:t>
            </w:r>
          </w:p>
        </w:tc>
        <w:tc>
          <w:tcPr>
            <w:tcW w:w="1810" w:type="dxa"/>
            <w:tcBorders>
              <w:top w:val="single" w:sz="8" w:space="0" w:color="auto"/>
              <w:left w:val="nil"/>
              <w:bottom w:val="nil"/>
              <w:right w:val="single" w:sz="8" w:space="0" w:color="auto"/>
            </w:tcBorders>
            <w:shd w:val="clear" w:color="auto" w:fill="auto"/>
            <w:noWrap/>
            <w:vAlign w:val="bottom"/>
            <w:hideMark/>
          </w:tcPr>
          <w:p w14:paraId="2CB64B6E" w14:textId="77777777" w:rsidR="00A302BD" w:rsidRPr="00650B18" w:rsidRDefault="00A302BD" w:rsidP="00E04892">
            <w:pPr>
              <w:spacing w:after="0" w:line="240" w:lineRule="auto"/>
              <w:rPr>
                <w:rFonts w:ascii="Times New Roman" w:eastAsia="Times New Roman" w:hAnsi="Times New Roman"/>
                <w:b/>
                <w:bCs/>
                <w:color w:val="000000"/>
                <w:sz w:val="24"/>
                <w:szCs w:val="24"/>
              </w:rPr>
            </w:pPr>
            <w:r w:rsidRPr="00650B18">
              <w:rPr>
                <w:rFonts w:ascii="Times New Roman" w:eastAsia="Times New Roman" w:hAnsi="Times New Roman"/>
                <w:b/>
                <w:bCs/>
                <w:color w:val="000000"/>
                <w:sz w:val="24"/>
                <w:szCs w:val="24"/>
              </w:rPr>
              <w:t>Volontary</w:t>
            </w:r>
          </w:p>
        </w:tc>
      </w:tr>
      <w:tr w:rsidR="00A302BD" w:rsidRPr="00650B18" w14:paraId="10ADC5F3" w14:textId="77777777" w:rsidTr="00E04892">
        <w:trPr>
          <w:trHeight w:val="576"/>
        </w:trPr>
        <w:tc>
          <w:tcPr>
            <w:tcW w:w="1700" w:type="dxa"/>
            <w:tcBorders>
              <w:top w:val="nil"/>
              <w:left w:val="single" w:sz="8" w:space="0" w:color="auto"/>
              <w:bottom w:val="nil"/>
              <w:right w:val="nil"/>
            </w:tcBorders>
            <w:shd w:val="clear" w:color="auto" w:fill="auto"/>
            <w:noWrap/>
            <w:vAlign w:val="bottom"/>
            <w:hideMark/>
          </w:tcPr>
          <w:p w14:paraId="71A71409"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w:t>
            </w:r>
          </w:p>
        </w:tc>
        <w:tc>
          <w:tcPr>
            <w:tcW w:w="1920" w:type="dxa"/>
            <w:gridSpan w:val="2"/>
            <w:tcBorders>
              <w:top w:val="nil"/>
              <w:left w:val="nil"/>
              <w:bottom w:val="nil"/>
              <w:right w:val="nil"/>
            </w:tcBorders>
            <w:shd w:val="clear" w:color="auto" w:fill="auto"/>
            <w:noWrap/>
            <w:vAlign w:val="bottom"/>
            <w:hideMark/>
          </w:tcPr>
          <w:p w14:paraId="31B888DE" w14:textId="77777777" w:rsidR="00A302BD" w:rsidRPr="00650B18" w:rsidRDefault="00A302BD" w:rsidP="00E04892">
            <w:pPr>
              <w:spacing w:after="0" w:line="240" w:lineRule="auto"/>
              <w:rPr>
                <w:rFonts w:ascii="Times New Roman" w:eastAsia="Times New Roman" w:hAnsi="Times New Roman"/>
                <w:b/>
                <w:bCs/>
                <w:color w:val="000000"/>
                <w:sz w:val="24"/>
                <w:szCs w:val="24"/>
              </w:rPr>
            </w:pPr>
            <w:r w:rsidRPr="00650B18">
              <w:rPr>
                <w:rFonts w:ascii="Times New Roman" w:eastAsia="Times New Roman" w:hAnsi="Times New Roman"/>
                <w:b/>
                <w:bCs/>
                <w:color w:val="000000"/>
                <w:sz w:val="24"/>
                <w:szCs w:val="24"/>
              </w:rPr>
              <w:t xml:space="preserve">Compliance 2021 </w:t>
            </w:r>
          </w:p>
        </w:tc>
        <w:tc>
          <w:tcPr>
            <w:tcW w:w="1810" w:type="dxa"/>
            <w:tcBorders>
              <w:top w:val="nil"/>
              <w:left w:val="nil"/>
              <w:bottom w:val="nil"/>
              <w:right w:val="single" w:sz="8" w:space="0" w:color="auto"/>
            </w:tcBorders>
            <w:shd w:val="clear" w:color="auto" w:fill="auto"/>
            <w:vAlign w:val="bottom"/>
            <w:hideMark/>
          </w:tcPr>
          <w:p w14:paraId="0F678032" w14:textId="77777777" w:rsidR="00A302BD" w:rsidRPr="00650B18" w:rsidRDefault="00A302BD" w:rsidP="00E04892">
            <w:pPr>
              <w:spacing w:after="0" w:line="240" w:lineRule="auto"/>
              <w:rPr>
                <w:rFonts w:ascii="Times New Roman" w:eastAsia="Times New Roman" w:hAnsi="Times New Roman"/>
                <w:b/>
                <w:bCs/>
                <w:color w:val="000000"/>
                <w:sz w:val="24"/>
                <w:szCs w:val="24"/>
              </w:rPr>
            </w:pPr>
            <w:r w:rsidRPr="00650B18">
              <w:rPr>
                <w:rFonts w:ascii="Times New Roman" w:eastAsia="Times New Roman" w:hAnsi="Times New Roman"/>
                <w:b/>
                <w:bCs/>
                <w:color w:val="000000"/>
                <w:sz w:val="24"/>
                <w:szCs w:val="24"/>
              </w:rPr>
              <w:t>Anticipative measures 2022</w:t>
            </w:r>
          </w:p>
        </w:tc>
      </w:tr>
      <w:tr w:rsidR="00A302BD" w:rsidRPr="00650B18" w14:paraId="0B5F4E97"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758FAF33" w14:textId="6FCB73E0" w:rsidR="00A302BD" w:rsidRPr="00650B18" w:rsidRDefault="00A302BD" w:rsidP="00E04892">
            <w:pPr>
              <w:spacing w:after="0" w:line="240" w:lineRule="auto"/>
              <w:rPr>
                <w:rFonts w:ascii="Times New Roman" w:eastAsia="Times New Roman" w:hAnsi="Times New Roman"/>
                <w:b/>
                <w:bCs/>
                <w:color w:val="000000"/>
                <w:sz w:val="24"/>
                <w:szCs w:val="24"/>
              </w:rPr>
            </w:pPr>
            <w:r w:rsidRPr="00650B18">
              <w:rPr>
                <w:rFonts w:ascii="Times New Roman" w:eastAsia="Times New Roman" w:hAnsi="Times New Roman"/>
                <w:b/>
                <w:bCs/>
                <w:color w:val="000000"/>
                <w:sz w:val="24"/>
                <w:szCs w:val="24"/>
              </w:rPr>
              <w:t>Bank</w:t>
            </w:r>
            <w:r w:rsidR="00833778">
              <w:rPr>
                <w:rFonts w:ascii="Times New Roman" w:eastAsia="Times New Roman" w:hAnsi="Times New Roman"/>
                <w:b/>
                <w:bCs/>
                <w:color w:val="000000"/>
                <w:sz w:val="24"/>
                <w:szCs w:val="24"/>
              </w:rPr>
              <w:t>er</w:t>
            </w:r>
          </w:p>
        </w:tc>
        <w:tc>
          <w:tcPr>
            <w:tcW w:w="1920" w:type="dxa"/>
            <w:gridSpan w:val="2"/>
            <w:tcBorders>
              <w:top w:val="nil"/>
              <w:left w:val="nil"/>
              <w:bottom w:val="nil"/>
              <w:right w:val="nil"/>
            </w:tcBorders>
            <w:shd w:val="clear" w:color="auto" w:fill="auto"/>
            <w:noWrap/>
            <w:vAlign w:val="bottom"/>
            <w:hideMark/>
          </w:tcPr>
          <w:p w14:paraId="24413303"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xml:space="preserve">percentage </w:t>
            </w:r>
            <w:r w:rsidRPr="00650B18">
              <w:rPr>
                <w:rFonts w:ascii="Times New Roman" w:eastAsia="Times New Roman" w:hAnsi="Times New Roman"/>
                <w:b/>
                <w:bCs/>
                <w:color w:val="000000"/>
                <w:sz w:val="24"/>
                <w:szCs w:val="24"/>
              </w:rPr>
              <w:t xml:space="preserve">eligible </w:t>
            </w:r>
          </w:p>
        </w:tc>
        <w:tc>
          <w:tcPr>
            <w:tcW w:w="1810" w:type="dxa"/>
            <w:tcBorders>
              <w:top w:val="nil"/>
              <w:left w:val="nil"/>
              <w:bottom w:val="nil"/>
              <w:right w:val="single" w:sz="8" w:space="0" w:color="auto"/>
            </w:tcBorders>
            <w:shd w:val="clear" w:color="auto" w:fill="auto"/>
            <w:noWrap/>
            <w:vAlign w:val="bottom"/>
            <w:hideMark/>
          </w:tcPr>
          <w:p w14:paraId="744EBAC0"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xml:space="preserve">percentage </w:t>
            </w:r>
            <w:r w:rsidRPr="00650B18">
              <w:rPr>
                <w:rFonts w:ascii="Times New Roman" w:eastAsia="Times New Roman" w:hAnsi="Times New Roman"/>
                <w:b/>
                <w:bCs/>
                <w:color w:val="000000"/>
                <w:sz w:val="24"/>
                <w:szCs w:val="24"/>
              </w:rPr>
              <w:t>aligned</w:t>
            </w:r>
          </w:p>
        </w:tc>
      </w:tr>
      <w:tr w:rsidR="00A302BD" w:rsidRPr="00650B18" w14:paraId="681DC02E" w14:textId="77777777" w:rsidTr="00E04892">
        <w:trPr>
          <w:trHeight w:val="288"/>
        </w:trPr>
        <w:tc>
          <w:tcPr>
            <w:tcW w:w="1700" w:type="dxa"/>
            <w:tcBorders>
              <w:top w:val="nil"/>
              <w:left w:val="single" w:sz="8" w:space="0" w:color="auto"/>
              <w:bottom w:val="nil"/>
              <w:right w:val="nil"/>
            </w:tcBorders>
            <w:shd w:val="clear" w:color="auto" w:fill="auto"/>
            <w:noWrap/>
            <w:vAlign w:val="bottom"/>
            <w:hideMark/>
          </w:tcPr>
          <w:p w14:paraId="6256ADA0"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w:t>
            </w:r>
          </w:p>
        </w:tc>
        <w:tc>
          <w:tcPr>
            <w:tcW w:w="1920" w:type="dxa"/>
            <w:gridSpan w:val="2"/>
            <w:tcBorders>
              <w:top w:val="nil"/>
              <w:left w:val="nil"/>
              <w:bottom w:val="nil"/>
              <w:right w:val="nil"/>
            </w:tcBorders>
            <w:shd w:val="clear" w:color="auto" w:fill="auto"/>
            <w:noWrap/>
            <w:vAlign w:val="bottom"/>
            <w:hideMark/>
          </w:tcPr>
          <w:p w14:paraId="324FCADD"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xml:space="preserve">assets 2021 </w:t>
            </w:r>
          </w:p>
        </w:tc>
        <w:tc>
          <w:tcPr>
            <w:tcW w:w="1810" w:type="dxa"/>
            <w:tcBorders>
              <w:top w:val="nil"/>
              <w:left w:val="nil"/>
              <w:bottom w:val="nil"/>
              <w:right w:val="single" w:sz="8" w:space="0" w:color="auto"/>
            </w:tcBorders>
            <w:shd w:val="clear" w:color="auto" w:fill="auto"/>
            <w:noWrap/>
            <w:vAlign w:val="bottom"/>
            <w:hideMark/>
          </w:tcPr>
          <w:p w14:paraId="3A263DCD"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assets 2021</w:t>
            </w:r>
          </w:p>
        </w:tc>
      </w:tr>
      <w:tr w:rsidR="00A302BD" w:rsidRPr="00650B18" w14:paraId="18C81AFD" w14:textId="77777777" w:rsidTr="008A00D4">
        <w:trPr>
          <w:trHeight w:val="371"/>
        </w:trPr>
        <w:tc>
          <w:tcPr>
            <w:tcW w:w="1700" w:type="dxa"/>
            <w:tcBorders>
              <w:top w:val="nil"/>
              <w:left w:val="single" w:sz="8" w:space="0" w:color="auto"/>
              <w:bottom w:val="nil"/>
              <w:right w:val="nil"/>
            </w:tcBorders>
            <w:shd w:val="clear" w:color="auto" w:fill="auto"/>
            <w:noWrap/>
            <w:vAlign w:val="bottom"/>
            <w:hideMark/>
          </w:tcPr>
          <w:p w14:paraId="58629554"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Handelsbanken</w:t>
            </w:r>
          </w:p>
        </w:tc>
        <w:tc>
          <w:tcPr>
            <w:tcW w:w="1613" w:type="dxa"/>
            <w:tcBorders>
              <w:top w:val="nil"/>
              <w:left w:val="nil"/>
              <w:bottom w:val="nil"/>
              <w:right w:val="nil"/>
            </w:tcBorders>
            <w:shd w:val="clear" w:color="auto" w:fill="auto"/>
            <w:noWrap/>
            <w:vAlign w:val="bottom"/>
            <w:hideMark/>
          </w:tcPr>
          <w:p w14:paraId="59079194"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39,3</w:t>
            </w:r>
          </w:p>
        </w:tc>
        <w:tc>
          <w:tcPr>
            <w:tcW w:w="307" w:type="dxa"/>
            <w:tcBorders>
              <w:top w:val="nil"/>
              <w:left w:val="nil"/>
              <w:bottom w:val="nil"/>
              <w:right w:val="nil"/>
            </w:tcBorders>
            <w:shd w:val="clear" w:color="auto" w:fill="auto"/>
            <w:noWrap/>
            <w:vAlign w:val="bottom"/>
            <w:hideMark/>
          </w:tcPr>
          <w:p w14:paraId="1268C158"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p>
        </w:tc>
        <w:tc>
          <w:tcPr>
            <w:tcW w:w="1810" w:type="dxa"/>
            <w:tcBorders>
              <w:top w:val="nil"/>
              <w:left w:val="nil"/>
              <w:bottom w:val="nil"/>
              <w:right w:val="single" w:sz="8" w:space="0" w:color="auto"/>
            </w:tcBorders>
            <w:shd w:val="clear" w:color="auto" w:fill="auto"/>
            <w:noWrap/>
            <w:vAlign w:val="bottom"/>
            <w:hideMark/>
          </w:tcPr>
          <w:p w14:paraId="57CE19FE"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43,5</w:t>
            </w:r>
          </w:p>
        </w:tc>
      </w:tr>
      <w:tr w:rsidR="00A302BD" w:rsidRPr="00650B18" w14:paraId="252BA820" w14:textId="77777777" w:rsidTr="008A00D4">
        <w:trPr>
          <w:trHeight w:val="373"/>
        </w:trPr>
        <w:tc>
          <w:tcPr>
            <w:tcW w:w="1700" w:type="dxa"/>
            <w:tcBorders>
              <w:top w:val="nil"/>
              <w:left w:val="single" w:sz="8" w:space="0" w:color="auto"/>
              <w:bottom w:val="nil"/>
              <w:right w:val="nil"/>
            </w:tcBorders>
            <w:shd w:val="clear" w:color="auto" w:fill="auto"/>
            <w:noWrap/>
            <w:vAlign w:val="bottom"/>
            <w:hideMark/>
          </w:tcPr>
          <w:p w14:paraId="4FC01D19"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SEB</w:t>
            </w:r>
          </w:p>
        </w:tc>
        <w:tc>
          <w:tcPr>
            <w:tcW w:w="1613" w:type="dxa"/>
            <w:tcBorders>
              <w:top w:val="nil"/>
              <w:left w:val="nil"/>
              <w:bottom w:val="nil"/>
              <w:right w:val="nil"/>
            </w:tcBorders>
            <w:shd w:val="clear" w:color="auto" w:fill="auto"/>
            <w:noWrap/>
            <w:vAlign w:val="bottom"/>
            <w:hideMark/>
          </w:tcPr>
          <w:p w14:paraId="182922F9"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19</w:t>
            </w:r>
          </w:p>
        </w:tc>
        <w:tc>
          <w:tcPr>
            <w:tcW w:w="307" w:type="dxa"/>
            <w:tcBorders>
              <w:top w:val="nil"/>
              <w:left w:val="nil"/>
              <w:bottom w:val="nil"/>
              <w:right w:val="nil"/>
            </w:tcBorders>
            <w:shd w:val="clear" w:color="auto" w:fill="auto"/>
            <w:noWrap/>
            <w:vAlign w:val="bottom"/>
            <w:hideMark/>
          </w:tcPr>
          <w:p w14:paraId="7D2F6A98"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p>
        </w:tc>
        <w:tc>
          <w:tcPr>
            <w:tcW w:w="1810" w:type="dxa"/>
            <w:tcBorders>
              <w:top w:val="nil"/>
              <w:left w:val="nil"/>
              <w:bottom w:val="nil"/>
              <w:right w:val="single" w:sz="8" w:space="0" w:color="auto"/>
            </w:tcBorders>
            <w:shd w:val="clear" w:color="auto" w:fill="auto"/>
            <w:noWrap/>
            <w:vAlign w:val="bottom"/>
            <w:hideMark/>
          </w:tcPr>
          <w:p w14:paraId="1F1935A4"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40</w:t>
            </w:r>
          </w:p>
        </w:tc>
      </w:tr>
      <w:tr w:rsidR="00A302BD" w:rsidRPr="00650B18" w14:paraId="510F0DEC" w14:textId="77777777" w:rsidTr="00E04892">
        <w:trPr>
          <w:trHeight w:val="360"/>
        </w:trPr>
        <w:tc>
          <w:tcPr>
            <w:tcW w:w="1700" w:type="dxa"/>
            <w:tcBorders>
              <w:top w:val="nil"/>
              <w:left w:val="single" w:sz="8" w:space="0" w:color="auto"/>
              <w:bottom w:val="nil"/>
              <w:right w:val="nil"/>
            </w:tcBorders>
            <w:shd w:val="clear" w:color="auto" w:fill="auto"/>
            <w:noWrap/>
            <w:vAlign w:val="bottom"/>
            <w:hideMark/>
          </w:tcPr>
          <w:p w14:paraId="16DD9B69"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xml:space="preserve">Carnegie </w:t>
            </w:r>
          </w:p>
        </w:tc>
        <w:tc>
          <w:tcPr>
            <w:tcW w:w="1613" w:type="dxa"/>
            <w:tcBorders>
              <w:top w:val="nil"/>
              <w:left w:val="nil"/>
              <w:bottom w:val="nil"/>
              <w:right w:val="nil"/>
            </w:tcBorders>
            <w:shd w:val="clear" w:color="auto" w:fill="auto"/>
            <w:noWrap/>
            <w:vAlign w:val="bottom"/>
            <w:hideMark/>
          </w:tcPr>
          <w:p w14:paraId="4E9FBF12" w14:textId="39F23CDA" w:rsidR="00A302BD" w:rsidRPr="00650B18" w:rsidRDefault="003E6C6B" w:rsidP="00DE14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lang w:val="sv-SE"/>
              </w:rPr>
              <w:t xml:space="preserve">     </w:t>
            </w:r>
            <w:r w:rsidR="00A302BD">
              <w:rPr>
                <w:rFonts w:ascii="Times New Roman" w:eastAsia="Times New Roman" w:hAnsi="Times New Roman"/>
                <w:color w:val="000000"/>
                <w:sz w:val="24"/>
                <w:szCs w:val="24"/>
                <w:lang w:val="sv-SE"/>
              </w:rPr>
              <w:t xml:space="preserve"> </w:t>
            </w:r>
            <w:r w:rsidR="00F0666A">
              <w:rPr>
                <w:rFonts w:ascii="Times New Roman" w:eastAsia="Times New Roman" w:hAnsi="Times New Roman"/>
                <w:color w:val="000000"/>
                <w:sz w:val="24"/>
                <w:szCs w:val="24"/>
              </w:rPr>
              <w:t>44</w:t>
            </w:r>
          </w:p>
        </w:tc>
        <w:tc>
          <w:tcPr>
            <w:tcW w:w="307" w:type="dxa"/>
            <w:tcBorders>
              <w:top w:val="nil"/>
              <w:left w:val="nil"/>
              <w:bottom w:val="nil"/>
              <w:right w:val="nil"/>
            </w:tcBorders>
            <w:shd w:val="clear" w:color="auto" w:fill="auto"/>
            <w:noWrap/>
            <w:vAlign w:val="bottom"/>
            <w:hideMark/>
          </w:tcPr>
          <w:p w14:paraId="6171EAA8" w14:textId="77777777" w:rsidR="00A302BD" w:rsidRPr="00650B18" w:rsidRDefault="00A302BD" w:rsidP="00E04892">
            <w:pPr>
              <w:spacing w:after="0" w:line="240" w:lineRule="auto"/>
              <w:rPr>
                <w:rFonts w:ascii="Times New Roman" w:eastAsia="Times New Roman" w:hAnsi="Times New Roman"/>
                <w:color w:val="000000"/>
                <w:sz w:val="24"/>
                <w:szCs w:val="24"/>
              </w:rPr>
            </w:pPr>
          </w:p>
        </w:tc>
        <w:tc>
          <w:tcPr>
            <w:tcW w:w="1810" w:type="dxa"/>
            <w:tcBorders>
              <w:top w:val="nil"/>
              <w:left w:val="nil"/>
              <w:bottom w:val="nil"/>
              <w:right w:val="single" w:sz="8" w:space="0" w:color="auto"/>
            </w:tcBorders>
            <w:shd w:val="clear" w:color="auto" w:fill="auto"/>
            <w:noWrap/>
            <w:vAlign w:val="bottom"/>
            <w:hideMark/>
          </w:tcPr>
          <w:p w14:paraId="6A44160E" w14:textId="0FC18DDD" w:rsidR="00A302BD" w:rsidRPr="00650B18" w:rsidRDefault="003E6C6B" w:rsidP="00E0489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sv-SE"/>
              </w:rPr>
              <w:t xml:space="preserve">      </w:t>
            </w:r>
            <w:r w:rsidR="00A302BD" w:rsidRPr="00650B18">
              <w:rPr>
                <w:rFonts w:ascii="Times New Roman" w:eastAsia="Times New Roman" w:hAnsi="Times New Roman"/>
                <w:color w:val="000000"/>
                <w:sz w:val="24"/>
                <w:szCs w:val="24"/>
              </w:rPr>
              <w:t>-</w:t>
            </w:r>
          </w:p>
        </w:tc>
      </w:tr>
      <w:tr w:rsidR="00A302BD" w:rsidRPr="00650B18" w14:paraId="41CC3135" w14:textId="77777777" w:rsidTr="00E04892">
        <w:trPr>
          <w:trHeight w:val="312"/>
        </w:trPr>
        <w:tc>
          <w:tcPr>
            <w:tcW w:w="1700" w:type="dxa"/>
            <w:tcBorders>
              <w:top w:val="nil"/>
              <w:left w:val="single" w:sz="8" w:space="0" w:color="auto"/>
              <w:bottom w:val="nil"/>
              <w:right w:val="nil"/>
            </w:tcBorders>
            <w:shd w:val="clear" w:color="auto" w:fill="auto"/>
            <w:noWrap/>
            <w:vAlign w:val="bottom"/>
            <w:hideMark/>
          </w:tcPr>
          <w:p w14:paraId="4995F3B8"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xml:space="preserve">Danske Bank </w:t>
            </w:r>
          </w:p>
        </w:tc>
        <w:tc>
          <w:tcPr>
            <w:tcW w:w="1613" w:type="dxa"/>
            <w:tcBorders>
              <w:top w:val="nil"/>
              <w:left w:val="nil"/>
              <w:bottom w:val="nil"/>
              <w:right w:val="nil"/>
            </w:tcBorders>
            <w:shd w:val="clear" w:color="auto" w:fill="auto"/>
            <w:noWrap/>
            <w:vAlign w:val="bottom"/>
            <w:hideMark/>
          </w:tcPr>
          <w:p w14:paraId="18B3C3A5"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25</w:t>
            </w:r>
          </w:p>
        </w:tc>
        <w:tc>
          <w:tcPr>
            <w:tcW w:w="307" w:type="dxa"/>
            <w:tcBorders>
              <w:top w:val="nil"/>
              <w:left w:val="nil"/>
              <w:bottom w:val="nil"/>
              <w:right w:val="nil"/>
            </w:tcBorders>
            <w:shd w:val="clear" w:color="auto" w:fill="auto"/>
            <w:noWrap/>
            <w:vAlign w:val="bottom"/>
            <w:hideMark/>
          </w:tcPr>
          <w:p w14:paraId="436556B3"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p>
        </w:tc>
        <w:tc>
          <w:tcPr>
            <w:tcW w:w="1810" w:type="dxa"/>
            <w:tcBorders>
              <w:top w:val="nil"/>
              <w:left w:val="nil"/>
              <w:bottom w:val="nil"/>
              <w:right w:val="single" w:sz="8" w:space="0" w:color="auto"/>
            </w:tcBorders>
            <w:shd w:val="clear" w:color="auto" w:fill="auto"/>
            <w:noWrap/>
            <w:vAlign w:val="bottom"/>
            <w:hideMark/>
          </w:tcPr>
          <w:p w14:paraId="21BBEEFD" w14:textId="523D696B" w:rsidR="00A302BD" w:rsidRPr="00650B18" w:rsidRDefault="003E6C6B" w:rsidP="00E04892">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sv-SE"/>
              </w:rPr>
              <w:t xml:space="preserve">      </w:t>
            </w:r>
            <w:r w:rsidR="00A302BD" w:rsidRPr="00650B18">
              <w:rPr>
                <w:rFonts w:ascii="Times New Roman" w:eastAsia="Times New Roman" w:hAnsi="Times New Roman"/>
                <w:b/>
                <w:bCs/>
                <w:color w:val="000000"/>
                <w:sz w:val="24"/>
                <w:szCs w:val="24"/>
              </w:rPr>
              <w:t>-</w:t>
            </w:r>
          </w:p>
        </w:tc>
      </w:tr>
      <w:tr w:rsidR="00A302BD" w:rsidRPr="00650B18" w14:paraId="04CCABE3" w14:textId="77777777" w:rsidTr="00E04892">
        <w:trPr>
          <w:trHeight w:val="300"/>
        </w:trPr>
        <w:tc>
          <w:tcPr>
            <w:tcW w:w="1700" w:type="dxa"/>
            <w:tcBorders>
              <w:top w:val="nil"/>
              <w:left w:val="single" w:sz="8" w:space="0" w:color="auto"/>
              <w:bottom w:val="single" w:sz="8" w:space="0" w:color="auto"/>
              <w:right w:val="nil"/>
            </w:tcBorders>
            <w:shd w:val="clear" w:color="auto" w:fill="auto"/>
            <w:noWrap/>
            <w:vAlign w:val="bottom"/>
            <w:hideMark/>
          </w:tcPr>
          <w:p w14:paraId="51889B2A"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Swedbank</w:t>
            </w:r>
          </w:p>
        </w:tc>
        <w:tc>
          <w:tcPr>
            <w:tcW w:w="1613" w:type="dxa"/>
            <w:tcBorders>
              <w:top w:val="nil"/>
              <w:left w:val="nil"/>
              <w:bottom w:val="single" w:sz="8" w:space="0" w:color="auto"/>
              <w:right w:val="nil"/>
            </w:tcBorders>
            <w:shd w:val="clear" w:color="auto" w:fill="auto"/>
            <w:noWrap/>
            <w:vAlign w:val="bottom"/>
            <w:hideMark/>
          </w:tcPr>
          <w:p w14:paraId="00B57D18"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40,7</w:t>
            </w:r>
          </w:p>
        </w:tc>
        <w:tc>
          <w:tcPr>
            <w:tcW w:w="307" w:type="dxa"/>
            <w:tcBorders>
              <w:top w:val="nil"/>
              <w:left w:val="nil"/>
              <w:bottom w:val="single" w:sz="8" w:space="0" w:color="auto"/>
              <w:right w:val="nil"/>
            </w:tcBorders>
            <w:shd w:val="clear" w:color="auto" w:fill="auto"/>
            <w:noWrap/>
            <w:vAlign w:val="bottom"/>
            <w:hideMark/>
          </w:tcPr>
          <w:p w14:paraId="4D8CA53C" w14:textId="77777777" w:rsidR="00A302BD" w:rsidRPr="00650B18" w:rsidRDefault="00A302BD" w:rsidP="00E04892">
            <w:pPr>
              <w:spacing w:after="0" w:line="240" w:lineRule="auto"/>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 </w:t>
            </w:r>
          </w:p>
        </w:tc>
        <w:tc>
          <w:tcPr>
            <w:tcW w:w="1810" w:type="dxa"/>
            <w:tcBorders>
              <w:top w:val="nil"/>
              <w:left w:val="nil"/>
              <w:bottom w:val="single" w:sz="8" w:space="0" w:color="auto"/>
              <w:right w:val="single" w:sz="8" w:space="0" w:color="auto"/>
            </w:tcBorders>
            <w:shd w:val="clear" w:color="auto" w:fill="auto"/>
            <w:noWrap/>
            <w:vAlign w:val="bottom"/>
            <w:hideMark/>
          </w:tcPr>
          <w:p w14:paraId="27ABCC63" w14:textId="77777777" w:rsidR="00A302BD" w:rsidRPr="00650B18" w:rsidRDefault="00A302BD" w:rsidP="00E04892">
            <w:pPr>
              <w:spacing w:after="0" w:line="240" w:lineRule="auto"/>
              <w:jc w:val="right"/>
              <w:rPr>
                <w:rFonts w:ascii="Times New Roman" w:eastAsia="Times New Roman" w:hAnsi="Times New Roman"/>
                <w:color w:val="000000"/>
                <w:sz w:val="24"/>
                <w:szCs w:val="24"/>
              </w:rPr>
            </w:pPr>
            <w:r w:rsidRPr="00650B18">
              <w:rPr>
                <w:rFonts w:ascii="Times New Roman" w:eastAsia="Times New Roman" w:hAnsi="Times New Roman"/>
                <w:color w:val="000000"/>
                <w:sz w:val="24"/>
                <w:szCs w:val="24"/>
              </w:rPr>
              <w:t>41,2</w:t>
            </w:r>
          </w:p>
        </w:tc>
      </w:tr>
    </w:tbl>
    <w:p w14:paraId="4A087FE8" w14:textId="75A4014C" w:rsidR="00A302BD" w:rsidRPr="00833778" w:rsidRDefault="00F0666A" w:rsidP="00A302BD">
      <w:pPr>
        <w:rPr>
          <w:sz w:val="18"/>
          <w:szCs w:val="18"/>
        </w:rPr>
      </w:pPr>
      <w:r w:rsidRPr="00833778">
        <w:rPr>
          <w:sz w:val="18"/>
          <w:szCs w:val="18"/>
        </w:rPr>
        <w:t>Tabel</w:t>
      </w:r>
      <w:r w:rsidR="0040460C" w:rsidRPr="00833778">
        <w:rPr>
          <w:sz w:val="18"/>
          <w:szCs w:val="18"/>
        </w:rPr>
        <w:t xml:space="preserve"> </w:t>
      </w:r>
      <w:r w:rsidR="005B1AC3" w:rsidRPr="00833778">
        <w:rPr>
          <w:sz w:val="18"/>
          <w:szCs w:val="18"/>
        </w:rPr>
        <w:t xml:space="preserve">8 </w:t>
      </w:r>
      <w:r w:rsidRPr="00833778">
        <w:rPr>
          <w:sz w:val="18"/>
          <w:szCs w:val="18"/>
        </w:rPr>
        <w:t xml:space="preserve">Svenske Bankers vurdering af dækning ad EU taksonomi </w:t>
      </w:r>
    </w:p>
    <w:p w14:paraId="5CBC257F" w14:textId="00950446" w:rsidR="00D26C7A" w:rsidRDefault="00D26C7A" w:rsidP="00A302BD">
      <w:r>
        <w:t>POINTE:</w:t>
      </w:r>
      <w:r w:rsidR="003E6C6B">
        <w:t xml:space="preserve"> </w:t>
      </w:r>
      <w:r>
        <w:t>Banker har bevæget sig markant de senere år i retning af grønne lån, grøn finansiering gr</w:t>
      </w:r>
      <w:r w:rsidR="00167F2B">
        <w:t xml:space="preserve">øn rådgivning </w:t>
      </w:r>
      <w:r w:rsidR="00F817C3">
        <w:t>– de er ved at indtage en ny rolle i erhvervslivet og den grønne omstilling</w:t>
      </w:r>
    </w:p>
    <w:p w14:paraId="061CB121" w14:textId="2BADB4B9" w:rsidR="00D26C7A" w:rsidRDefault="00167F2B" w:rsidP="00A302BD">
      <w:r>
        <w:t>Taxonomien er kun et redskab ud af flere og ”sammenstilles” med GRI, GHG, Science Based Targets, FN, SDG m.m.m.</w:t>
      </w:r>
    </w:p>
    <w:p w14:paraId="1ACBFECD" w14:textId="77777777" w:rsidR="00D26C7A" w:rsidRPr="00A302BD" w:rsidRDefault="00D26C7A" w:rsidP="00A302BD"/>
    <w:p w14:paraId="13BB7806" w14:textId="77777777" w:rsidR="00CE52EC" w:rsidRPr="00671C4D" w:rsidRDefault="00CE52EC">
      <w:pPr>
        <w:spacing w:after="0" w:line="240" w:lineRule="auto"/>
      </w:pPr>
    </w:p>
    <w:p w14:paraId="4CFABC81" w14:textId="4A1E8352" w:rsidR="00F974F9" w:rsidRDefault="00F974F9">
      <w:pPr>
        <w:spacing w:after="0" w:line="240" w:lineRule="auto"/>
      </w:pPr>
    </w:p>
    <w:p w14:paraId="26464870" w14:textId="7155A715" w:rsidR="00F974F9" w:rsidRDefault="00F974F9">
      <w:pPr>
        <w:spacing w:after="0" w:line="240" w:lineRule="auto"/>
      </w:pPr>
    </w:p>
    <w:p w14:paraId="765C4A5F" w14:textId="77777777" w:rsidR="00BA6D80" w:rsidRDefault="00BA6D80" w:rsidP="00F817C3">
      <w:pPr>
        <w:spacing w:after="0" w:line="240" w:lineRule="auto"/>
      </w:pPr>
    </w:p>
    <w:p w14:paraId="2373A35E" w14:textId="5AF01700" w:rsidR="00974818" w:rsidRPr="00AE7157" w:rsidRDefault="006037DE" w:rsidP="00974818">
      <w:pPr>
        <w:pStyle w:val="Overskrift2"/>
        <w:rPr>
          <w:b/>
          <w:bCs/>
        </w:rPr>
      </w:pPr>
      <w:bookmarkStart w:id="19" w:name="_Toc112184355"/>
      <w:r>
        <w:rPr>
          <w:b/>
          <w:bCs/>
        </w:rPr>
        <w:t>2</w:t>
      </w:r>
      <w:r w:rsidR="00974818" w:rsidRPr="00AE7157">
        <w:rPr>
          <w:b/>
          <w:bCs/>
        </w:rPr>
        <w:t>.1 Kommuner</w:t>
      </w:r>
      <w:bookmarkEnd w:id="19"/>
      <w:r w:rsidR="00974818" w:rsidRPr="00AE7157">
        <w:rPr>
          <w:b/>
          <w:bCs/>
        </w:rPr>
        <w:t xml:space="preserve"> </w:t>
      </w:r>
    </w:p>
    <w:p w14:paraId="264F0AD1" w14:textId="46F62123" w:rsidR="00974818" w:rsidRDefault="00974818" w:rsidP="00974818"/>
    <w:p w14:paraId="6B620F7B" w14:textId="53929A2D" w:rsidR="00AE7157" w:rsidRDefault="00AE7157" w:rsidP="00974818">
      <w:r>
        <w:t>I det følgende gennemgås først resultater af studiet af midtjyske danske kommuner og derefter de vestsvenske kommuner. I begge regioner er der indsamlet materialer fra både store, mellemstore og små kommuner. Nedenfor er hovedvægten dog lagt på de små og mellemstore kommuner. De to undersøgte regioner har desuden det tilfælles at der er en større by i området med deraf følgende</w:t>
      </w:r>
      <w:r w:rsidR="0040460C">
        <w:t xml:space="preserve"> </w:t>
      </w:r>
      <w:r>
        <w:t xml:space="preserve">urbanisering og desuden de små og mellemstore kommuner. Ingen af de to regioner råder over en hovedstad. </w:t>
      </w:r>
    </w:p>
    <w:p w14:paraId="415EBA35" w14:textId="653E95B8" w:rsidR="00974818" w:rsidRPr="00DE14A5" w:rsidRDefault="00A154B2" w:rsidP="00974818">
      <w:pPr>
        <w:pStyle w:val="Overskrift2"/>
        <w:rPr>
          <w:b/>
          <w:bCs/>
        </w:rPr>
      </w:pPr>
      <w:bookmarkStart w:id="20" w:name="_Toc112184356"/>
      <w:r>
        <w:rPr>
          <w:b/>
          <w:bCs/>
        </w:rPr>
        <w:t xml:space="preserve">2.1.1 </w:t>
      </w:r>
      <w:r w:rsidR="0020121F">
        <w:rPr>
          <w:b/>
          <w:bCs/>
        </w:rPr>
        <w:t>K</w:t>
      </w:r>
      <w:r w:rsidR="00974818" w:rsidRPr="00DE14A5">
        <w:rPr>
          <w:b/>
          <w:bCs/>
        </w:rPr>
        <w:t>ommuner</w:t>
      </w:r>
      <w:r w:rsidR="0020121F">
        <w:rPr>
          <w:b/>
          <w:bCs/>
        </w:rPr>
        <w:t>s erhvervsudviklingsarbejde med bæredygtighed</w:t>
      </w:r>
      <w:r w:rsidR="00974818" w:rsidRPr="00DE14A5">
        <w:rPr>
          <w:b/>
          <w:bCs/>
        </w:rPr>
        <w:t xml:space="preserve"> (DK)</w:t>
      </w:r>
      <w:bookmarkEnd w:id="20"/>
    </w:p>
    <w:p w14:paraId="6A1A6BA0" w14:textId="67C03396" w:rsidR="00974818" w:rsidRDefault="00AE7157" w:rsidP="00974818">
      <w:r>
        <w:t>Diagnosen af status for bæredygtig erhvervsudvikling i de midtjyske kommuner bygger på interviews med fem kommuner, indsamling af materialer fra disse kommuner (som erhvervsudviklingstrategi (</w:t>
      </w:r>
      <w:r w:rsidR="00F84979">
        <w:t>erhvervsudviklings</w:t>
      </w:r>
      <w:r>
        <w:t xml:space="preserve">strategi ex </w:t>
      </w:r>
      <w:r w:rsidR="00F84979">
        <w:t>Gladsaxe</w:t>
      </w:r>
      <w:r>
        <w:t xml:space="preserve"> Kommun</w:t>
      </w:r>
      <w:r w:rsidR="00F84979">
        <w:t>e</w:t>
      </w:r>
      <w:r>
        <w:t xml:space="preserve"> 202</w:t>
      </w:r>
      <w:r w:rsidR="00F84979">
        <w:t>0</w:t>
      </w:r>
      <w:r>
        <w:t>), besøg hos yderligere t</w:t>
      </w:r>
      <w:r w:rsidR="00F84979">
        <w:t>o</w:t>
      </w:r>
      <w:r>
        <w:t xml:space="preserve"> kommuner, med mer uformel dialog. Som baggrundsmateriale anvendtes rapporter og undersøgelser</w:t>
      </w:r>
      <w:r w:rsidR="00F84979">
        <w:t>.</w:t>
      </w:r>
      <w:r>
        <w:t xml:space="preserve"> </w:t>
      </w:r>
    </w:p>
    <w:p w14:paraId="7F67D01C" w14:textId="4FAB43BF" w:rsidR="00F84979" w:rsidRDefault="00F84979" w:rsidP="00F84979">
      <w:r>
        <w:t>I tabellen er sammenstillet hovedresultaterne om de midtjyske kommunernes anvendelse af netværk, seminarer, kundskab samt status og placering af bæredygtighed.</w:t>
      </w:r>
    </w:p>
    <w:p w14:paraId="19869B82" w14:textId="77777777" w:rsidR="00974818" w:rsidRDefault="00974818" w:rsidP="00974818"/>
    <w:tbl>
      <w:tblPr>
        <w:tblStyle w:val="Tabel-Gitter"/>
        <w:tblW w:w="0" w:type="auto"/>
        <w:tblLook w:val="04A0" w:firstRow="1" w:lastRow="0" w:firstColumn="1" w:lastColumn="0" w:noHBand="0" w:noVBand="1"/>
      </w:tblPr>
      <w:tblGrid>
        <w:gridCol w:w="1474"/>
        <w:gridCol w:w="1627"/>
        <w:gridCol w:w="1480"/>
        <w:gridCol w:w="2250"/>
        <w:gridCol w:w="2322"/>
      </w:tblGrid>
      <w:tr w:rsidR="00974818" w14:paraId="22E9B54D" w14:textId="77777777" w:rsidTr="00DE14A5">
        <w:tc>
          <w:tcPr>
            <w:tcW w:w="1474" w:type="dxa"/>
          </w:tcPr>
          <w:p w14:paraId="5C089467" w14:textId="77777777" w:rsidR="00974818" w:rsidRDefault="00974818" w:rsidP="00E04892">
            <w:r>
              <w:t>Kommune</w:t>
            </w:r>
          </w:p>
        </w:tc>
        <w:tc>
          <w:tcPr>
            <w:tcW w:w="1627" w:type="dxa"/>
          </w:tcPr>
          <w:p w14:paraId="50322CE0" w14:textId="77777777" w:rsidR="00974818" w:rsidRDefault="00974818" w:rsidP="00E04892">
            <w:r>
              <w:t>Netværk</w:t>
            </w:r>
          </w:p>
        </w:tc>
        <w:tc>
          <w:tcPr>
            <w:tcW w:w="1480" w:type="dxa"/>
          </w:tcPr>
          <w:p w14:paraId="2FF07813" w14:textId="77777777" w:rsidR="00974818" w:rsidRDefault="00974818" w:rsidP="00E04892">
            <w:r>
              <w:t xml:space="preserve">Kundskabs-spredning og – opbygning (uddannelse) </w:t>
            </w:r>
          </w:p>
        </w:tc>
        <w:tc>
          <w:tcPr>
            <w:tcW w:w="2250" w:type="dxa"/>
          </w:tcPr>
          <w:p w14:paraId="373B3D8E" w14:textId="77777777" w:rsidR="00974818" w:rsidRDefault="00974818" w:rsidP="00E04892">
            <w:r>
              <w:t>Bæredygtigheds status og placering</w:t>
            </w:r>
          </w:p>
        </w:tc>
        <w:tc>
          <w:tcPr>
            <w:tcW w:w="2322" w:type="dxa"/>
          </w:tcPr>
          <w:p w14:paraId="76B54374" w14:textId="77777777" w:rsidR="00974818" w:rsidRDefault="00974818" w:rsidP="00E04892">
            <w:r>
              <w:t xml:space="preserve">Taxonomiens rolle </w:t>
            </w:r>
          </w:p>
        </w:tc>
      </w:tr>
      <w:tr w:rsidR="00974818" w14:paraId="37FB5C68" w14:textId="77777777" w:rsidTr="00DE14A5">
        <w:tc>
          <w:tcPr>
            <w:tcW w:w="1474" w:type="dxa"/>
          </w:tcPr>
          <w:p w14:paraId="7ADCFDB2" w14:textId="77777777" w:rsidR="00974818" w:rsidRDefault="00974818" w:rsidP="00E04892">
            <w:r>
              <w:t>Skive</w:t>
            </w:r>
          </w:p>
        </w:tc>
        <w:tc>
          <w:tcPr>
            <w:tcW w:w="1627" w:type="dxa"/>
          </w:tcPr>
          <w:p w14:paraId="0AFD94BF" w14:textId="77777777" w:rsidR="00974818" w:rsidRDefault="00974818" w:rsidP="00E04892">
            <w:r>
              <w:t>Alment brugt</w:t>
            </w:r>
          </w:p>
        </w:tc>
        <w:tc>
          <w:tcPr>
            <w:tcW w:w="1480" w:type="dxa"/>
          </w:tcPr>
          <w:p w14:paraId="3D401943" w14:textId="060EAF5C" w:rsidR="00974818" w:rsidRDefault="00557AD2" w:rsidP="00E04892">
            <w:r>
              <w:t>Alment brugt, også i projekter</w:t>
            </w:r>
          </w:p>
        </w:tc>
        <w:tc>
          <w:tcPr>
            <w:tcW w:w="2250" w:type="dxa"/>
          </w:tcPr>
          <w:p w14:paraId="5F15E9D1" w14:textId="77777777" w:rsidR="00974818" w:rsidRDefault="00974818" w:rsidP="00E04892"/>
        </w:tc>
        <w:tc>
          <w:tcPr>
            <w:tcW w:w="2322" w:type="dxa"/>
          </w:tcPr>
          <w:p w14:paraId="66B7E5E4" w14:textId="77777777" w:rsidR="00974818" w:rsidRDefault="00974818" w:rsidP="00E04892">
            <w:r>
              <w:t>Ikke relevant endnu</w:t>
            </w:r>
          </w:p>
        </w:tc>
      </w:tr>
      <w:tr w:rsidR="00974818" w14:paraId="75B545CC" w14:textId="77777777" w:rsidTr="00DE14A5">
        <w:tc>
          <w:tcPr>
            <w:tcW w:w="1474" w:type="dxa"/>
          </w:tcPr>
          <w:p w14:paraId="4114CFEF" w14:textId="77777777" w:rsidR="00974818" w:rsidRDefault="00974818" w:rsidP="00E04892">
            <w:r>
              <w:t>Holstebro</w:t>
            </w:r>
          </w:p>
        </w:tc>
        <w:tc>
          <w:tcPr>
            <w:tcW w:w="1627" w:type="dxa"/>
          </w:tcPr>
          <w:p w14:paraId="5679C89B" w14:textId="77777777" w:rsidR="00974818" w:rsidRDefault="00974818" w:rsidP="00E04892">
            <w:r>
              <w:t>Alment brugt</w:t>
            </w:r>
          </w:p>
        </w:tc>
        <w:tc>
          <w:tcPr>
            <w:tcW w:w="1480" w:type="dxa"/>
          </w:tcPr>
          <w:p w14:paraId="1911D8C6" w14:textId="405BCFA7" w:rsidR="00974818" w:rsidRDefault="00557AD2" w:rsidP="00E04892">
            <w:r>
              <w:t>Alment brugt</w:t>
            </w:r>
          </w:p>
        </w:tc>
        <w:tc>
          <w:tcPr>
            <w:tcW w:w="2250" w:type="dxa"/>
          </w:tcPr>
          <w:p w14:paraId="5CB5DE13" w14:textId="49FD7C0B" w:rsidR="00974818" w:rsidRPr="00651918" w:rsidRDefault="00651918" w:rsidP="00E04892">
            <w:pPr>
              <w:rPr>
                <w:lang w:val="sv-SE"/>
              </w:rPr>
            </w:pPr>
            <w:r w:rsidRPr="00651918">
              <w:rPr>
                <w:lang w:val="sv-SE"/>
              </w:rPr>
              <w:t>Extern konsulent som ansva</w:t>
            </w:r>
            <w:r>
              <w:rPr>
                <w:lang w:val="sv-SE"/>
              </w:rPr>
              <w:t>rlig for bæredygtighed</w:t>
            </w:r>
          </w:p>
        </w:tc>
        <w:tc>
          <w:tcPr>
            <w:tcW w:w="2322" w:type="dxa"/>
          </w:tcPr>
          <w:p w14:paraId="481556F1" w14:textId="77777777" w:rsidR="00974818" w:rsidRDefault="00974818" w:rsidP="00E04892">
            <w:r>
              <w:t>Ikke tilstede</w:t>
            </w:r>
          </w:p>
        </w:tc>
      </w:tr>
      <w:tr w:rsidR="00974818" w14:paraId="243BB85C" w14:textId="77777777" w:rsidTr="00DE14A5">
        <w:tc>
          <w:tcPr>
            <w:tcW w:w="1474" w:type="dxa"/>
          </w:tcPr>
          <w:p w14:paraId="464392AD" w14:textId="530C3B4B" w:rsidR="00974818" w:rsidRDefault="00974818" w:rsidP="00E04892">
            <w:r>
              <w:t>Herning /Ikast-brande</w:t>
            </w:r>
            <w:r w:rsidR="00BA6D80">
              <w:t xml:space="preserve"> Erhvervsråd</w:t>
            </w:r>
          </w:p>
        </w:tc>
        <w:tc>
          <w:tcPr>
            <w:tcW w:w="1627" w:type="dxa"/>
          </w:tcPr>
          <w:p w14:paraId="295EE285" w14:textId="77777777" w:rsidR="00974818" w:rsidRDefault="00974818" w:rsidP="00E04892">
            <w:r>
              <w:t>Alment brugt</w:t>
            </w:r>
          </w:p>
        </w:tc>
        <w:tc>
          <w:tcPr>
            <w:tcW w:w="1480" w:type="dxa"/>
          </w:tcPr>
          <w:p w14:paraId="3824E2D5" w14:textId="2879C152" w:rsidR="00974818" w:rsidRDefault="00557AD2" w:rsidP="00E04892">
            <w:r>
              <w:t>Alment brugt</w:t>
            </w:r>
          </w:p>
        </w:tc>
        <w:tc>
          <w:tcPr>
            <w:tcW w:w="2250" w:type="dxa"/>
          </w:tcPr>
          <w:p w14:paraId="7A1EC909" w14:textId="6524E5E2" w:rsidR="00974818" w:rsidRDefault="00EB5CEC" w:rsidP="00E04892">
            <w:r>
              <w:t>”bæredygtigt herning”</w:t>
            </w:r>
          </w:p>
        </w:tc>
        <w:tc>
          <w:tcPr>
            <w:tcW w:w="2322" w:type="dxa"/>
          </w:tcPr>
          <w:p w14:paraId="0A135F4D" w14:textId="77777777" w:rsidR="00974818" w:rsidRDefault="00974818" w:rsidP="00E04892">
            <w:r>
              <w:t>Har hørt om det</w:t>
            </w:r>
          </w:p>
        </w:tc>
      </w:tr>
      <w:tr w:rsidR="00974818" w14:paraId="750432CB" w14:textId="77777777" w:rsidTr="00DE14A5">
        <w:tc>
          <w:tcPr>
            <w:tcW w:w="1474" w:type="dxa"/>
          </w:tcPr>
          <w:p w14:paraId="221C5B6B" w14:textId="77777777" w:rsidR="00974818" w:rsidRDefault="00974818" w:rsidP="00E04892">
            <w:r>
              <w:t xml:space="preserve">Århus </w:t>
            </w:r>
          </w:p>
        </w:tc>
        <w:tc>
          <w:tcPr>
            <w:tcW w:w="1627" w:type="dxa"/>
          </w:tcPr>
          <w:p w14:paraId="34EBE1FA" w14:textId="77777777" w:rsidR="00974818" w:rsidRDefault="00974818" w:rsidP="00E04892">
            <w:r>
              <w:t>Alment brugt ESG-session Taxonomi netværksmøde april 2022</w:t>
            </w:r>
          </w:p>
        </w:tc>
        <w:tc>
          <w:tcPr>
            <w:tcW w:w="1480" w:type="dxa"/>
          </w:tcPr>
          <w:p w14:paraId="5848FFF2" w14:textId="02E80398" w:rsidR="00974818" w:rsidRDefault="00557AD2" w:rsidP="00E04892">
            <w:r>
              <w:t>Alment brugt, også i både egne og fælles projekter</w:t>
            </w:r>
          </w:p>
        </w:tc>
        <w:tc>
          <w:tcPr>
            <w:tcW w:w="2250" w:type="dxa"/>
          </w:tcPr>
          <w:p w14:paraId="4FAA7C03" w14:textId="77777777" w:rsidR="00974818" w:rsidRPr="00A746EF" w:rsidRDefault="00EB5CEC" w:rsidP="00E04892">
            <w:pPr>
              <w:rPr>
                <w:lang w:val="nb-NO"/>
              </w:rPr>
            </w:pPr>
            <w:r w:rsidRPr="00A746EF">
              <w:rPr>
                <w:lang w:val="nb-NO"/>
              </w:rPr>
              <w:t xml:space="preserve">Klimaplan og programsekretariatet </w:t>
            </w:r>
          </w:p>
          <w:p w14:paraId="038FD5BD" w14:textId="2C8D9A25" w:rsidR="00EB5CEC" w:rsidRPr="00A746EF" w:rsidRDefault="00EB5CEC" w:rsidP="00E04892">
            <w:pPr>
              <w:rPr>
                <w:lang w:val="nb-NO"/>
              </w:rPr>
            </w:pPr>
            <w:r w:rsidRPr="00A746EF">
              <w:rPr>
                <w:lang w:val="nb-NO"/>
              </w:rPr>
              <w:t>(klimasekretariatet nedlagt)</w:t>
            </w:r>
          </w:p>
        </w:tc>
        <w:tc>
          <w:tcPr>
            <w:tcW w:w="2322" w:type="dxa"/>
          </w:tcPr>
          <w:p w14:paraId="40075993" w14:textId="39E6BFD5" w:rsidR="00974818" w:rsidRDefault="00974818" w:rsidP="00E04892">
            <w:r>
              <w:t>Har hørt om det, første netværksarrangement</w:t>
            </w:r>
            <w:r w:rsidR="007517B4">
              <w:t xml:space="preserve"> forår 2022</w:t>
            </w:r>
          </w:p>
        </w:tc>
      </w:tr>
      <w:tr w:rsidR="00974818" w14:paraId="7DCD0D10" w14:textId="77777777" w:rsidTr="00DE14A5">
        <w:tc>
          <w:tcPr>
            <w:tcW w:w="1474" w:type="dxa"/>
          </w:tcPr>
          <w:p w14:paraId="3D1D8025" w14:textId="7EF142CC" w:rsidR="00974818" w:rsidRDefault="00BA6D80" w:rsidP="00E04892">
            <w:r>
              <w:t>Ringkøbing-Skjern (dialog med Erhvervsråd)</w:t>
            </w:r>
          </w:p>
        </w:tc>
        <w:tc>
          <w:tcPr>
            <w:tcW w:w="1627" w:type="dxa"/>
          </w:tcPr>
          <w:p w14:paraId="2FC9E296" w14:textId="6996A45D" w:rsidR="00974818" w:rsidRDefault="00557AD2" w:rsidP="00E04892">
            <w:r>
              <w:t>Alment brugt</w:t>
            </w:r>
          </w:p>
        </w:tc>
        <w:tc>
          <w:tcPr>
            <w:tcW w:w="1480" w:type="dxa"/>
          </w:tcPr>
          <w:p w14:paraId="6F06517B" w14:textId="0DC6B115" w:rsidR="00974818" w:rsidRDefault="00557AD2" w:rsidP="00E04892">
            <w:r>
              <w:t>Alment brugt, blandt andet i projekter med andre kommuner</w:t>
            </w:r>
          </w:p>
        </w:tc>
        <w:tc>
          <w:tcPr>
            <w:tcW w:w="2250" w:type="dxa"/>
          </w:tcPr>
          <w:p w14:paraId="7F558053" w14:textId="77777777" w:rsidR="00974818" w:rsidRDefault="007517B4" w:rsidP="00E04892">
            <w:r>
              <w:t>Spørgeskemaunder-</w:t>
            </w:r>
          </w:p>
          <w:p w14:paraId="6070D657" w14:textId="45DC2233" w:rsidR="007517B4" w:rsidRDefault="007517B4" w:rsidP="00E04892">
            <w:r>
              <w:t>Søgelse i 2022</w:t>
            </w:r>
          </w:p>
        </w:tc>
        <w:tc>
          <w:tcPr>
            <w:tcW w:w="2322" w:type="dxa"/>
          </w:tcPr>
          <w:p w14:paraId="63DBAEC8" w14:textId="5A70E67A" w:rsidR="00974818" w:rsidRDefault="00557AD2" w:rsidP="00E04892">
            <w:r>
              <w:t>Opbygget viden sammen med kommunen det sidste år</w:t>
            </w:r>
          </w:p>
        </w:tc>
      </w:tr>
    </w:tbl>
    <w:p w14:paraId="3303880A" w14:textId="021544BB" w:rsidR="00974818" w:rsidRPr="00833778" w:rsidRDefault="0069554A" w:rsidP="00974818">
      <w:pPr>
        <w:rPr>
          <w:sz w:val="18"/>
          <w:szCs w:val="18"/>
        </w:rPr>
      </w:pPr>
      <w:r w:rsidRPr="00833778">
        <w:rPr>
          <w:sz w:val="18"/>
          <w:szCs w:val="18"/>
        </w:rPr>
        <w:t>Tabel</w:t>
      </w:r>
      <w:r w:rsidR="005B1AC3" w:rsidRPr="00833778">
        <w:rPr>
          <w:sz w:val="18"/>
          <w:szCs w:val="18"/>
        </w:rPr>
        <w:t xml:space="preserve"> 9</w:t>
      </w:r>
      <w:r w:rsidRPr="00833778">
        <w:rPr>
          <w:sz w:val="18"/>
          <w:szCs w:val="18"/>
        </w:rPr>
        <w:t>: Danske kommuners erhvervsudviklingspra</w:t>
      </w:r>
      <w:r w:rsidR="00833778">
        <w:rPr>
          <w:sz w:val="18"/>
          <w:szCs w:val="18"/>
        </w:rPr>
        <w:t>ks</w:t>
      </w:r>
      <w:r w:rsidRPr="00833778">
        <w:rPr>
          <w:sz w:val="18"/>
          <w:szCs w:val="18"/>
        </w:rPr>
        <w:t>is og indlejringen af bæredygtighed.</w:t>
      </w:r>
    </w:p>
    <w:p w14:paraId="45BE3478" w14:textId="56998202" w:rsidR="00105BA9" w:rsidRDefault="00BA6D80" w:rsidP="00974818">
      <w:r>
        <w:t xml:space="preserve">Nogle respondenter angiver, at værktøjet </w:t>
      </w:r>
      <w:r>
        <w:rPr>
          <w:i/>
        </w:rPr>
        <w:t>VækstHjulet</w:t>
      </w:r>
      <w:r>
        <w:t xml:space="preserve"> er bredt anvendt både i den basale og specialiserede del af den decentrale erhvervsfremme i Danmark i dialogen med virksomhederne.</w:t>
      </w:r>
      <w:r w:rsidR="0040460C">
        <w:t xml:space="preserve"> </w:t>
      </w:r>
      <w:r>
        <w:t>VækstHjulet er bygget op omkring et stort antal dialogark om forskellige dele af virksomheden, hvor man så kan udvælge dem, der er mest relevante i dialogen med en konkret virksomhed.</w:t>
      </w:r>
      <w:r w:rsidR="0040460C">
        <w:t xml:space="preserve"> </w:t>
      </w:r>
      <w:r w:rsidR="0090732D">
        <w:t>VækstHjulet rummer et dialogark med overskriften Grøn Forretningsmodel som rummer et fokus på fire kategorier i forhold til Miljøoptimering: Ressourceoptimering, Livscyklusoptimering, Medfinansiering og Mersalg.</w:t>
      </w:r>
      <w:r w:rsidR="0040460C">
        <w:t xml:space="preserve"> </w:t>
      </w:r>
      <w:r w:rsidR="00105BA9">
        <w:t>Hver af disse er udspecificeret med 3-9 punkter til brug i en dialog fx ”spildreduktion” eller ”retursystem”.</w:t>
      </w:r>
      <w:r w:rsidR="003E6C6B">
        <w:t xml:space="preserve"> </w:t>
      </w:r>
      <w:r w:rsidR="00105BA9">
        <w:t>Respondenterne har ingen konkret erfaring med netop dette dialogark.</w:t>
      </w:r>
    </w:p>
    <w:p w14:paraId="1E163ED1" w14:textId="5EF6A9CC" w:rsidR="0090732D" w:rsidRDefault="00105BA9" w:rsidP="00974818">
      <w:r>
        <w:t xml:space="preserve">VækstHjulets dialogværktøj om grønne forretningsmodeller bruger således en anden kategorisering end de seks kategorier af grønne økonomiske aktiviteter, </w:t>
      </w:r>
      <w:r w:rsidR="00913D17">
        <w:t>der indgår i taksonomiens kategorisering.</w:t>
      </w:r>
      <w:r w:rsidR="0040460C">
        <w:t xml:space="preserve"> </w:t>
      </w:r>
      <w:r w:rsidR="00913D17">
        <w:t>Respondenten angiver at et dialogværktøj af samme type som VækstHjulet, som evt. kan bruges på tværs af aktører i Erhvervsfremmesystemet, som refererer til taksonomie</w:t>
      </w:r>
      <w:r w:rsidR="00B6538D">
        <w:t xml:space="preserve">ns kategosering af bæredygtighed, vil understøtte at bringe grønne økonomiske aktiviteter efter den nye standard </w:t>
      </w:r>
    </w:p>
    <w:p w14:paraId="13270FF2" w14:textId="77777777" w:rsidR="00BA6D80" w:rsidRDefault="00BA6D80" w:rsidP="00974818"/>
    <w:p w14:paraId="326B489D" w14:textId="78857E96" w:rsidR="00974818" w:rsidRDefault="00974818" w:rsidP="00974818">
      <w:r>
        <w:t xml:space="preserve">POINTE: stort vidensbehov om taxonomien – </w:t>
      </w:r>
      <w:r w:rsidR="009E15DE">
        <w:t xml:space="preserve">Den er </w:t>
      </w:r>
      <w:r>
        <w:t xml:space="preserve">ikke indarbejdet i kommunal strategi eller praksis </w:t>
      </w:r>
    </w:p>
    <w:p w14:paraId="58CD6F19" w14:textId="77777777" w:rsidR="00974818" w:rsidRDefault="00974818" w:rsidP="00974818"/>
    <w:p w14:paraId="5C2BF789" w14:textId="6F4A931F" w:rsidR="00974818" w:rsidRPr="00DE14A5" w:rsidRDefault="006037DE" w:rsidP="00DE14A5">
      <w:pPr>
        <w:pStyle w:val="Overskrift2"/>
        <w:rPr>
          <w:b/>
          <w:bCs/>
        </w:rPr>
      </w:pPr>
      <w:bookmarkStart w:id="21" w:name="_Toc112184357"/>
      <w:r w:rsidRPr="00DE14A5">
        <w:rPr>
          <w:b/>
          <w:bCs/>
        </w:rPr>
        <w:t>2</w:t>
      </w:r>
      <w:r w:rsidR="00974818" w:rsidRPr="00DE14A5">
        <w:rPr>
          <w:b/>
          <w:bCs/>
        </w:rPr>
        <w:t>.</w:t>
      </w:r>
      <w:r w:rsidR="008A0322">
        <w:rPr>
          <w:b/>
          <w:bCs/>
        </w:rPr>
        <w:t>1.</w:t>
      </w:r>
      <w:r w:rsidR="00974818" w:rsidRPr="00DE14A5">
        <w:rPr>
          <w:b/>
          <w:bCs/>
        </w:rPr>
        <w:t xml:space="preserve">2 </w:t>
      </w:r>
      <w:r w:rsidR="00A154B2">
        <w:rPr>
          <w:b/>
          <w:bCs/>
        </w:rPr>
        <w:t>K</w:t>
      </w:r>
      <w:r w:rsidR="00A154B2" w:rsidRPr="00DE14A5">
        <w:rPr>
          <w:b/>
          <w:bCs/>
        </w:rPr>
        <w:t>ommuner</w:t>
      </w:r>
      <w:r w:rsidR="00A154B2">
        <w:rPr>
          <w:b/>
          <w:bCs/>
        </w:rPr>
        <w:t>s erhvervsudviklingsarbejde med bæredygtighed</w:t>
      </w:r>
      <w:r w:rsidR="00A154B2" w:rsidRPr="00DE14A5">
        <w:rPr>
          <w:b/>
          <w:bCs/>
        </w:rPr>
        <w:t xml:space="preserve"> (</w:t>
      </w:r>
      <w:r w:rsidR="00974818" w:rsidRPr="00DE14A5">
        <w:rPr>
          <w:b/>
          <w:bCs/>
        </w:rPr>
        <w:t>S</w:t>
      </w:r>
      <w:r w:rsidR="00A154B2">
        <w:rPr>
          <w:b/>
          <w:bCs/>
        </w:rPr>
        <w:t>E)</w:t>
      </w:r>
      <w:bookmarkEnd w:id="21"/>
      <w:r w:rsidR="00974818" w:rsidRPr="00DE14A5">
        <w:rPr>
          <w:b/>
          <w:bCs/>
        </w:rPr>
        <w:t xml:space="preserve"> </w:t>
      </w:r>
    </w:p>
    <w:p w14:paraId="0F840A7C" w14:textId="36859099" w:rsidR="0069554A" w:rsidRPr="00DE14A5" w:rsidRDefault="00B3281C" w:rsidP="0069554A">
      <w:pPr>
        <w:rPr>
          <w:rFonts w:ascii="CIDFont+F2" w:hAnsi="CIDFont+F2" w:cs="CIDFont+F2"/>
        </w:rPr>
      </w:pPr>
      <w:r>
        <w:t>Diagnosen af status for bæredygtig erhvervsudvikling i de vestsvenske kommuner bygger på i</w:t>
      </w:r>
      <w:r w:rsidR="00974818">
        <w:t xml:space="preserve">nterviews med </w:t>
      </w:r>
      <w:r>
        <w:t>f</w:t>
      </w:r>
      <w:r w:rsidR="00E92264">
        <w:t>em</w:t>
      </w:r>
      <w:r>
        <w:t xml:space="preserve"> </w:t>
      </w:r>
      <w:r w:rsidR="00974818">
        <w:t>kommuner</w:t>
      </w:r>
      <w:r>
        <w:t xml:space="preserve">, indsamling af materialer fra disse kommuner (som erhvervsudviklingstrategi (näringslivsstrategi ex Trollhättan </w:t>
      </w:r>
      <w:r w:rsidR="001A5C06">
        <w:t xml:space="preserve">Kommun </w:t>
      </w:r>
      <w:r>
        <w:t>2021), bes</w:t>
      </w:r>
      <w:r w:rsidR="00E92264">
        <w:t>øg hos yderligere tre kommuner, med mer uformel dialog.</w:t>
      </w:r>
      <w:r w:rsidR="001A5C06">
        <w:t xml:space="preserve"> Som baggrundsmateriale anvendtes rapporter og undersøgelser</w:t>
      </w:r>
      <w:r w:rsidR="0069554A">
        <w:t xml:space="preserve"> </w:t>
      </w:r>
      <w:r w:rsidR="00F84979">
        <w:t>(</w:t>
      </w:r>
      <w:r w:rsidR="0069554A" w:rsidRPr="00DE14A5">
        <w:t>2050,</w:t>
      </w:r>
      <w:r w:rsidR="0040460C">
        <w:t xml:space="preserve"> </w:t>
      </w:r>
      <w:r w:rsidR="0069554A" w:rsidRPr="00DE14A5">
        <w:t>2021, Axelsson och</w:t>
      </w:r>
      <w:r w:rsidR="0040460C">
        <w:t xml:space="preserve"> </w:t>
      </w:r>
      <w:r w:rsidR="0069554A" w:rsidRPr="00DE14A5">
        <w:t xml:space="preserve">Grevendahl, 2020, Beyond Intent et al, 2019, </w:t>
      </w:r>
      <w:r w:rsidR="0069554A" w:rsidRPr="00DE14A5">
        <w:rPr>
          <w:rFonts w:cstheme="minorHAnsi"/>
        </w:rPr>
        <w:t>Hermelin och Rusten. 2016, T</w:t>
      </w:r>
      <w:r w:rsidR="0069554A" w:rsidRPr="00DE14A5">
        <w:t xml:space="preserve">illväxtverket,2020, </w:t>
      </w:r>
      <w:r w:rsidR="0069554A" w:rsidRPr="00DE14A5">
        <w:rPr>
          <w:rFonts w:cs="CIDFont+F2"/>
        </w:rPr>
        <w:t>VGR Analys,2021</w:t>
      </w:r>
      <w:r w:rsidR="0069554A" w:rsidRPr="00DE14A5">
        <w:rPr>
          <w:rFonts w:ascii="CIDFont+F2" w:hAnsi="CIDFont+F2" w:cs="CIDFont+F2"/>
        </w:rPr>
        <w:t>)</w:t>
      </w:r>
    </w:p>
    <w:p w14:paraId="1DC41A5D" w14:textId="5792F084" w:rsidR="00974818" w:rsidRDefault="00974818" w:rsidP="00DE14A5"/>
    <w:p w14:paraId="0734223A" w14:textId="77777777" w:rsidR="00974818" w:rsidRDefault="00974818" w:rsidP="00974818"/>
    <w:p w14:paraId="7611C6A3" w14:textId="217274CC" w:rsidR="00974818" w:rsidRDefault="00974818" w:rsidP="00974818">
      <w:r>
        <w:t>I tabelle</w:t>
      </w:r>
      <w:r w:rsidR="00F84979">
        <w:t>n er sammenstillet hovedresultaterne om de vestsvenske kommunernes anvendelse af netværk, seminarer, kundskab samt status og placering af bæredygtighed.</w:t>
      </w:r>
    </w:p>
    <w:p w14:paraId="22FE4491" w14:textId="77777777" w:rsidR="00974818" w:rsidRDefault="00974818" w:rsidP="00974818"/>
    <w:tbl>
      <w:tblPr>
        <w:tblStyle w:val="Tabel-Gitter"/>
        <w:tblW w:w="0" w:type="auto"/>
        <w:tblLook w:val="04A0" w:firstRow="1" w:lastRow="0" w:firstColumn="1" w:lastColumn="0" w:noHBand="0" w:noVBand="1"/>
      </w:tblPr>
      <w:tblGrid>
        <w:gridCol w:w="1282"/>
        <w:gridCol w:w="1404"/>
        <w:gridCol w:w="2256"/>
        <w:gridCol w:w="2451"/>
        <w:gridCol w:w="1724"/>
      </w:tblGrid>
      <w:tr w:rsidR="0020121F" w14:paraId="271F3A55" w14:textId="3A7E663F" w:rsidTr="007517B4">
        <w:tc>
          <w:tcPr>
            <w:tcW w:w="1282" w:type="dxa"/>
          </w:tcPr>
          <w:p w14:paraId="0F993124" w14:textId="77777777" w:rsidR="0020121F" w:rsidRDefault="0020121F" w:rsidP="00E04892">
            <w:r>
              <w:t>Kommune</w:t>
            </w:r>
          </w:p>
        </w:tc>
        <w:tc>
          <w:tcPr>
            <w:tcW w:w="1404" w:type="dxa"/>
          </w:tcPr>
          <w:p w14:paraId="02FEE9FB" w14:textId="4FC8FF36" w:rsidR="0020121F" w:rsidRDefault="0020121F" w:rsidP="00E04892">
            <w:r>
              <w:t>Netværk og Seminarer</w:t>
            </w:r>
          </w:p>
        </w:tc>
        <w:tc>
          <w:tcPr>
            <w:tcW w:w="2256" w:type="dxa"/>
          </w:tcPr>
          <w:p w14:paraId="0862E2A2" w14:textId="77777777" w:rsidR="0020121F" w:rsidRDefault="0020121F" w:rsidP="00E04892">
            <w:r>
              <w:t>Kundskab</w:t>
            </w:r>
          </w:p>
        </w:tc>
        <w:tc>
          <w:tcPr>
            <w:tcW w:w="2451" w:type="dxa"/>
          </w:tcPr>
          <w:p w14:paraId="549D06EB" w14:textId="51E899B9" w:rsidR="0020121F" w:rsidRDefault="0020121F" w:rsidP="00E04892">
            <w:r>
              <w:t>Status og placering af bæredygtighed</w:t>
            </w:r>
          </w:p>
        </w:tc>
        <w:tc>
          <w:tcPr>
            <w:tcW w:w="1724" w:type="dxa"/>
          </w:tcPr>
          <w:p w14:paraId="1E255CD9" w14:textId="4D25195E" w:rsidR="0020121F" w:rsidRDefault="0020121F" w:rsidP="00E04892">
            <w:r>
              <w:t>Taxonomiens rolle</w:t>
            </w:r>
          </w:p>
        </w:tc>
      </w:tr>
      <w:tr w:rsidR="0020121F" w14:paraId="06E90BF5" w14:textId="28EC8263" w:rsidTr="007517B4">
        <w:tc>
          <w:tcPr>
            <w:tcW w:w="1282" w:type="dxa"/>
          </w:tcPr>
          <w:p w14:paraId="740D98AE" w14:textId="77777777" w:rsidR="0020121F" w:rsidRDefault="0020121F" w:rsidP="00651918">
            <w:r>
              <w:t>Falkenberg</w:t>
            </w:r>
          </w:p>
        </w:tc>
        <w:tc>
          <w:tcPr>
            <w:tcW w:w="1404" w:type="dxa"/>
          </w:tcPr>
          <w:p w14:paraId="7198BDA5" w14:textId="77777777" w:rsidR="0020121F" w:rsidRDefault="0020121F" w:rsidP="00651918">
            <w:r>
              <w:t>Alment brugt</w:t>
            </w:r>
          </w:p>
          <w:p w14:paraId="48A74831" w14:textId="2E178696" w:rsidR="0020121F" w:rsidRDefault="0020121F" w:rsidP="00651918">
            <w:r>
              <w:t>Finansiering særligt netværk</w:t>
            </w:r>
          </w:p>
        </w:tc>
        <w:tc>
          <w:tcPr>
            <w:tcW w:w="2256" w:type="dxa"/>
          </w:tcPr>
          <w:p w14:paraId="548958BD" w14:textId="3CA74038" w:rsidR="0020121F" w:rsidRDefault="0020121F" w:rsidP="00651918">
            <w:r>
              <w:t>Bred bæredygtighedsviden</w:t>
            </w:r>
          </w:p>
        </w:tc>
        <w:tc>
          <w:tcPr>
            <w:tcW w:w="2451" w:type="dxa"/>
          </w:tcPr>
          <w:p w14:paraId="122DDE75" w14:textId="77777777" w:rsidR="0020121F" w:rsidRDefault="0020121F" w:rsidP="00651918">
            <w:r>
              <w:t>Nyansat bæredygtighedschef</w:t>
            </w:r>
          </w:p>
          <w:p w14:paraId="341E3BCE" w14:textId="641DB5F3" w:rsidR="0020121F" w:rsidRDefault="0020121F" w:rsidP="00651918">
            <w:r>
              <w:t xml:space="preserve">Koordinering fungerer </w:t>
            </w:r>
          </w:p>
        </w:tc>
        <w:tc>
          <w:tcPr>
            <w:tcW w:w="1724" w:type="dxa"/>
          </w:tcPr>
          <w:p w14:paraId="1452D9D9" w14:textId="512BE741" w:rsidR="0020121F" w:rsidRDefault="0020121F" w:rsidP="00651918">
            <w:r>
              <w:t xml:space="preserve">Opbygget grundviden om indhold, afventer passende tidspunkt for bredere kommunikation til virksomheder </w:t>
            </w:r>
          </w:p>
        </w:tc>
      </w:tr>
      <w:tr w:rsidR="0020121F" w14:paraId="3D27C886" w14:textId="20C00170" w:rsidTr="007517B4">
        <w:tc>
          <w:tcPr>
            <w:tcW w:w="1282" w:type="dxa"/>
          </w:tcPr>
          <w:p w14:paraId="357C595F" w14:textId="77777777" w:rsidR="0020121F" w:rsidRDefault="0020121F" w:rsidP="00651918">
            <w:r>
              <w:t>Laholm</w:t>
            </w:r>
          </w:p>
        </w:tc>
        <w:tc>
          <w:tcPr>
            <w:tcW w:w="1404" w:type="dxa"/>
          </w:tcPr>
          <w:p w14:paraId="7E7D6128" w14:textId="6FDB6755" w:rsidR="0020121F" w:rsidRDefault="0020121F" w:rsidP="00651918">
            <w:r>
              <w:t>Alment brugt</w:t>
            </w:r>
          </w:p>
        </w:tc>
        <w:tc>
          <w:tcPr>
            <w:tcW w:w="2256" w:type="dxa"/>
          </w:tcPr>
          <w:p w14:paraId="6EA61EA1" w14:textId="77777777" w:rsidR="0020121F" w:rsidRDefault="0020121F" w:rsidP="00651918">
            <w:r>
              <w:t xml:space="preserve">Energioptimering </w:t>
            </w:r>
          </w:p>
          <w:p w14:paraId="2B053EF5" w14:textId="6CE48EB9" w:rsidR="0020121F" w:rsidRDefault="0020121F" w:rsidP="00651918">
            <w:r>
              <w:t xml:space="preserve">Bred bæredygtighedsviden </w:t>
            </w:r>
          </w:p>
        </w:tc>
        <w:tc>
          <w:tcPr>
            <w:tcW w:w="2451" w:type="dxa"/>
          </w:tcPr>
          <w:p w14:paraId="32D9658C" w14:textId="77777777" w:rsidR="0020121F" w:rsidRDefault="0020121F" w:rsidP="00651918">
            <w:r>
              <w:t>Nyansat bæredygtighedschef</w:t>
            </w:r>
          </w:p>
          <w:p w14:paraId="034D0790" w14:textId="3EF76CA8" w:rsidR="0020121F" w:rsidRDefault="0020121F" w:rsidP="00651918">
            <w:r>
              <w:t>Koordinering suboptimal</w:t>
            </w:r>
          </w:p>
        </w:tc>
        <w:tc>
          <w:tcPr>
            <w:tcW w:w="1724" w:type="dxa"/>
          </w:tcPr>
          <w:p w14:paraId="0103E049" w14:textId="06F331E7" w:rsidR="0020121F" w:rsidRDefault="0020121F" w:rsidP="00651918">
            <w:r>
              <w:t>Har hørt om den og interesseret i at opbygge viden</w:t>
            </w:r>
          </w:p>
        </w:tc>
      </w:tr>
      <w:tr w:rsidR="0020121F" w14:paraId="7F2291D1" w14:textId="0BD91830" w:rsidTr="007517B4">
        <w:tc>
          <w:tcPr>
            <w:tcW w:w="1282" w:type="dxa"/>
          </w:tcPr>
          <w:p w14:paraId="3A4492C6" w14:textId="77777777" w:rsidR="0020121F" w:rsidRDefault="0020121F" w:rsidP="00651918">
            <w:r>
              <w:t>Halmstad</w:t>
            </w:r>
          </w:p>
        </w:tc>
        <w:tc>
          <w:tcPr>
            <w:tcW w:w="1404" w:type="dxa"/>
          </w:tcPr>
          <w:p w14:paraId="73BF9B74" w14:textId="3F7626E0" w:rsidR="0020121F" w:rsidRDefault="0020121F" w:rsidP="00651918">
            <w:r>
              <w:t>Alment brugt</w:t>
            </w:r>
          </w:p>
        </w:tc>
        <w:tc>
          <w:tcPr>
            <w:tcW w:w="2256" w:type="dxa"/>
          </w:tcPr>
          <w:p w14:paraId="18BBB611" w14:textId="38B09B4A" w:rsidR="0020121F" w:rsidRDefault="0020121F" w:rsidP="00651918">
            <w:r>
              <w:t>Bred bæredygtighedsviden</w:t>
            </w:r>
          </w:p>
        </w:tc>
        <w:tc>
          <w:tcPr>
            <w:tcW w:w="2451" w:type="dxa"/>
          </w:tcPr>
          <w:p w14:paraId="744466A4" w14:textId="41A79277" w:rsidR="0020121F" w:rsidRDefault="0020121F" w:rsidP="00651918">
            <w:r>
              <w:t>Tværgående bæredygtighedschef</w:t>
            </w:r>
          </w:p>
        </w:tc>
        <w:tc>
          <w:tcPr>
            <w:tcW w:w="1724" w:type="dxa"/>
          </w:tcPr>
          <w:p w14:paraId="2281A83B" w14:textId="0E20B502" w:rsidR="0020121F" w:rsidRDefault="0020121F" w:rsidP="00651918">
            <w:r>
              <w:t>Har hørt om den og interesseret i at opbygge viden</w:t>
            </w:r>
          </w:p>
        </w:tc>
      </w:tr>
      <w:tr w:rsidR="0020121F" w14:paraId="7EE958EB" w14:textId="042D6ACB" w:rsidTr="007517B4">
        <w:tc>
          <w:tcPr>
            <w:tcW w:w="1282" w:type="dxa"/>
          </w:tcPr>
          <w:p w14:paraId="6C410306" w14:textId="77777777" w:rsidR="0020121F" w:rsidRPr="0011131C" w:rsidRDefault="0020121F" w:rsidP="00651918">
            <w:pPr>
              <w:rPr>
                <w:lang w:val="sv-SE"/>
              </w:rPr>
            </w:pPr>
            <w:r>
              <w:t>Trollh</w:t>
            </w:r>
            <w:r>
              <w:rPr>
                <w:lang w:val="sv-SE"/>
              </w:rPr>
              <w:t>ättan</w:t>
            </w:r>
          </w:p>
        </w:tc>
        <w:tc>
          <w:tcPr>
            <w:tcW w:w="1404" w:type="dxa"/>
          </w:tcPr>
          <w:p w14:paraId="151DE003" w14:textId="58FB4236" w:rsidR="0020121F" w:rsidRDefault="0020121F" w:rsidP="00651918">
            <w:r>
              <w:t>Alment brugt</w:t>
            </w:r>
          </w:p>
        </w:tc>
        <w:tc>
          <w:tcPr>
            <w:tcW w:w="2256" w:type="dxa"/>
          </w:tcPr>
          <w:p w14:paraId="36279D0C" w14:textId="51B9E51B" w:rsidR="0020121F" w:rsidRDefault="0020121F" w:rsidP="00651918">
            <w:r>
              <w:t>Bred bæredygtighedsviden</w:t>
            </w:r>
          </w:p>
        </w:tc>
        <w:tc>
          <w:tcPr>
            <w:tcW w:w="2451" w:type="dxa"/>
          </w:tcPr>
          <w:p w14:paraId="4B2C06AE" w14:textId="289B6C48" w:rsidR="0020121F" w:rsidRDefault="0020121F" w:rsidP="00651918">
            <w:r>
              <w:t>Erfaren erhvervsudviklingschef</w:t>
            </w:r>
          </w:p>
          <w:p w14:paraId="28C0938D" w14:textId="3EF2F73F" w:rsidR="0020121F" w:rsidRDefault="0020121F" w:rsidP="00651918">
            <w:r>
              <w:t>Ny erhvervsudviklings- og bæredygtighedsstrategi (anden generation)</w:t>
            </w:r>
          </w:p>
        </w:tc>
        <w:tc>
          <w:tcPr>
            <w:tcW w:w="1724" w:type="dxa"/>
          </w:tcPr>
          <w:p w14:paraId="5D669874" w14:textId="3280C6BB" w:rsidR="0020121F" w:rsidRDefault="0020121F" w:rsidP="00651918">
            <w:r>
              <w:t>Har hørt om den og interesseret i at opbygge viden- Afholdt et første interns seminar</w:t>
            </w:r>
          </w:p>
        </w:tc>
      </w:tr>
    </w:tbl>
    <w:p w14:paraId="1128C519" w14:textId="09DD7AB3" w:rsidR="0069554A" w:rsidRPr="003434A9" w:rsidRDefault="0069554A" w:rsidP="0069554A">
      <w:pPr>
        <w:rPr>
          <w:sz w:val="18"/>
          <w:szCs w:val="18"/>
        </w:rPr>
      </w:pPr>
      <w:r w:rsidRPr="003434A9">
        <w:rPr>
          <w:sz w:val="18"/>
          <w:szCs w:val="18"/>
        </w:rPr>
        <w:t>Tabel</w:t>
      </w:r>
      <w:r w:rsidR="005B1AC3" w:rsidRPr="003434A9">
        <w:rPr>
          <w:sz w:val="18"/>
          <w:szCs w:val="18"/>
        </w:rPr>
        <w:t xml:space="preserve"> 10</w:t>
      </w:r>
      <w:r w:rsidRPr="003434A9">
        <w:rPr>
          <w:sz w:val="18"/>
          <w:szCs w:val="18"/>
        </w:rPr>
        <w:t>: Svenske kommuners erhvervsudviklingspra</w:t>
      </w:r>
      <w:r w:rsidR="0020121F" w:rsidRPr="003434A9">
        <w:rPr>
          <w:sz w:val="18"/>
          <w:szCs w:val="18"/>
        </w:rPr>
        <w:t>ks</w:t>
      </w:r>
      <w:r w:rsidRPr="003434A9">
        <w:rPr>
          <w:sz w:val="18"/>
          <w:szCs w:val="18"/>
        </w:rPr>
        <w:t>is og indlejringen af bæredygtighed.</w:t>
      </w:r>
    </w:p>
    <w:p w14:paraId="36771BB5" w14:textId="77777777" w:rsidR="005B1AC3" w:rsidRDefault="005B1AC3" w:rsidP="00974818"/>
    <w:p w14:paraId="262A6D2D" w14:textId="74AD4684" w:rsidR="00974818" w:rsidRDefault="00974818" w:rsidP="00974818">
      <w:r>
        <w:t>POINTE:</w:t>
      </w:r>
      <w:r w:rsidR="0040460C">
        <w:t xml:space="preserve"> </w:t>
      </w:r>
      <w:r w:rsidR="0069554A">
        <w:t xml:space="preserve">Også i Svenske kommuner er der typisk et </w:t>
      </w:r>
      <w:r>
        <w:t>stort vidensbehov om taxonomien</w:t>
      </w:r>
      <w:r w:rsidR="0040460C">
        <w:t xml:space="preserve"> </w:t>
      </w:r>
      <w:r w:rsidR="0069554A">
        <w:t xml:space="preserve">og den er </w:t>
      </w:r>
      <w:r>
        <w:t>– ikke indarbejdet i kommunal strategi eller praksis</w:t>
      </w:r>
      <w:r w:rsidR="0069554A">
        <w:t>. En kommune stikker dog ud ved at være nået markant længere med bæredygtig investering og EU taksonomien.</w:t>
      </w:r>
    </w:p>
    <w:p w14:paraId="44AB2ABE" w14:textId="07078E09" w:rsidR="00974818" w:rsidRPr="00B703EE" w:rsidRDefault="00974818" w:rsidP="00974818">
      <w:r w:rsidRPr="00DE14A5">
        <w:t>Hållbarhetsstrategi vokser frem som kommuneprioritet</w:t>
      </w:r>
      <w:r w:rsidR="00F92F84" w:rsidRPr="00DE14A5">
        <w:t xml:space="preserve"> uafhængig af taksonomiens implementering, men som en bredere reaktion på kombinaitonen af ny regulering. </w:t>
      </w:r>
      <w:r w:rsidR="00F92F84" w:rsidRPr="00F92F84">
        <w:t>O</w:t>
      </w:r>
      <w:r w:rsidR="00F92F84" w:rsidRPr="00DE14A5">
        <w:t>ffentlige</w:t>
      </w:r>
      <w:r w:rsidR="00F92F84">
        <w:t xml:space="preserve"> initiativer, den offentlige mening og erhvervslivets udvikling</w:t>
      </w:r>
      <w:r w:rsidRPr="00DE14A5">
        <w:t xml:space="preserve">. </w:t>
      </w:r>
      <w:r w:rsidRPr="00B703EE">
        <w:t>Ansættelse af</w:t>
      </w:r>
      <w:r>
        <w:t xml:space="preserve"> </w:t>
      </w:r>
      <w:r w:rsidR="00A154B2">
        <w:t>h</w:t>
      </w:r>
      <w:r>
        <w:t>ållbarhetschefer</w:t>
      </w:r>
      <w:r w:rsidR="00A154B2">
        <w:t>,</w:t>
      </w:r>
      <w:r>
        <w:t xml:space="preserve"> </w:t>
      </w:r>
      <w:r w:rsidR="00A154B2">
        <w:t>h</w:t>
      </w:r>
      <w:r>
        <w:t>ållbarhetsstrateger</w:t>
      </w:r>
      <w:r w:rsidR="00A154B2">
        <w:t xml:space="preserve"> og hållbarhetskoordinatorer</w:t>
      </w:r>
      <w:r>
        <w:t>. Forsøger at koordinere erhvervsfremme, bygg och planlov, exploatering, utbildning (skoler). Lykkes i nogen kommuner, i andre ”falder det mellem to stole”</w:t>
      </w:r>
      <w:r w:rsidR="00A154B2">
        <w:t>.</w:t>
      </w:r>
    </w:p>
    <w:p w14:paraId="75939B3A" w14:textId="108E6E3F" w:rsidR="00974818" w:rsidRDefault="00F92F84" w:rsidP="00F92F84">
      <w:r>
        <w:t>Det ses flere steder at kommunerne for at accelerere udvikling anvender e</w:t>
      </w:r>
      <w:r w:rsidR="00974818">
        <w:t>xterne konsulenter for hurtigere at opbygge bæredygtighedskompentencer</w:t>
      </w:r>
      <w:r>
        <w:t xml:space="preserve"> i den kommunale organisation. Konsulenterne gør et stort stykke arbejde for kommunerne, men synes også at have vanskeligheder med at bliver forankrede i den interne kommunale organisation.- </w:t>
      </w:r>
    </w:p>
    <w:p w14:paraId="29E23270" w14:textId="78D19321" w:rsidR="00F92F84" w:rsidRPr="00B703EE" w:rsidRDefault="00F92F84" w:rsidP="00F92F84">
      <w:r>
        <w:t xml:space="preserve">Kommunerne har stor rutine i at sprede ny viden relevant for det lokale erhvervsliv, via </w:t>
      </w:r>
      <w:r w:rsidR="001E25DA">
        <w:t>seminarer, nyhedsbreve og lignende. Men kun en kommune have erfaringer med at dele og sprede viden om taksonomien. Denne kommune havde etableret et råd for finansiering af innovation og have skabt et netværk af finansielle aktører. Det havde indebåret at De følte sig uafhængige af ALMI, der ellers er en relevant finansiel samarbejdspartner både for kommunen og for virksomhederne</w:t>
      </w:r>
      <w:r w:rsidR="007154FB">
        <w:t xml:space="preserve"> (ALMI </w:t>
      </w:r>
      <w:r w:rsidR="007154FB" w:rsidRPr="007154FB">
        <w:t xml:space="preserve">AB </w:t>
      </w:r>
      <w:r w:rsidR="007154FB">
        <w:t>er ejet af den svenske</w:t>
      </w:r>
      <w:r w:rsidR="007154FB" w:rsidRPr="007154FB">
        <w:t xml:space="preserve"> stat</w:t>
      </w:r>
      <w:r w:rsidR="007154FB">
        <w:t xml:space="preserve"> og opererer </w:t>
      </w:r>
      <w:r w:rsidR="007154FB" w:rsidRPr="007154FB">
        <w:t>16 regional</w:t>
      </w:r>
      <w:r w:rsidR="007154FB">
        <w:t>e kontorer. Hovedaktiviteterne er forretningsudvikling, långivning og finansiering</w:t>
      </w:r>
      <w:r w:rsidR="00555424">
        <w:t xml:space="preserve">. Almi indarbejdede tidligt taksonomien i sin praksisi, </w:t>
      </w:r>
      <w:r w:rsidR="007154FB">
        <w:t>ALMI 2022).</w:t>
      </w:r>
    </w:p>
    <w:p w14:paraId="38144306" w14:textId="1F278DFE" w:rsidR="00974818" w:rsidRPr="00DE14A5" w:rsidRDefault="00F92F84" w:rsidP="00DE14A5">
      <w:pPr>
        <w:rPr>
          <w:vanish/>
        </w:rPr>
      </w:pPr>
      <w:r w:rsidRPr="00DE14A5">
        <w:t>En kommune</w:t>
      </w:r>
      <w:r>
        <w:t xml:space="preserve"> nævner </w:t>
      </w:r>
      <w:r w:rsidR="00304627">
        <w:t>EU kommissionen ”kompas” for taxonomien (European Commission 2022) som alt for kompliceret for de lokale små og mellemstore virksomhederne. Kompasset er udformet for et regneark med 6 faner, en fane for hver</w:t>
      </w:r>
      <w:r w:rsidR="00A154B2">
        <w:t>t</w:t>
      </w:r>
      <w:r w:rsidR="00304627">
        <w:t xml:space="preserve"> miljøaspekt i taksonomien:</w:t>
      </w:r>
      <w:r w:rsidR="003E6C6B">
        <w:t xml:space="preserve"> </w:t>
      </w:r>
      <w:r w:rsidR="00304627">
        <w:t>(</w:t>
      </w:r>
      <w:r w:rsidR="00304627" w:rsidRPr="00304627">
        <w:t>Modvirkning af klimaændringer</w:t>
      </w:r>
      <w:r w:rsidR="00304627">
        <w:t xml:space="preserve">, </w:t>
      </w:r>
      <w:r w:rsidR="004016FF">
        <w:t>t</w:t>
      </w:r>
      <w:r w:rsidR="00304627" w:rsidRPr="00304627">
        <w:t>ilpasning til klimaændringer</w:t>
      </w:r>
      <w:r w:rsidR="00304627">
        <w:t xml:space="preserve">, </w:t>
      </w:r>
      <w:r w:rsidR="004016FF">
        <w:t>b</w:t>
      </w:r>
      <w:r w:rsidR="00304627" w:rsidRPr="00304627">
        <w:t>æredygtig anvendelse og beskyttelse af vand- og havress</w:t>
      </w:r>
      <w:r w:rsidR="00304627">
        <w:t xml:space="preserve">ourcer, </w:t>
      </w:r>
      <w:r w:rsidR="004016FF">
        <w:t>o</w:t>
      </w:r>
      <w:r w:rsidR="00304627" w:rsidRPr="00304627">
        <w:t>mstilling til en cirkulær økonomi</w:t>
      </w:r>
      <w:r w:rsidR="00304627">
        <w:t xml:space="preserve">, </w:t>
      </w:r>
      <w:r w:rsidR="004016FF">
        <w:t>f</w:t>
      </w:r>
      <w:r w:rsidR="00304627" w:rsidRPr="00304627">
        <w:t>orebyggelse og bekæmpelse af forurening</w:t>
      </w:r>
      <w:r w:rsidR="00304627">
        <w:t xml:space="preserve">, </w:t>
      </w:r>
      <w:r w:rsidR="004016FF">
        <w:t>b</w:t>
      </w:r>
      <w:r w:rsidR="00304627" w:rsidRPr="00304627">
        <w:t>eskyttelse og genopretning af biodiversitet og økosystemer</w:t>
      </w:r>
      <w:r w:rsidR="00304627">
        <w:t xml:space="preserve">). Indenfor hver fane er der så </w:t>
      </w:r>
      <w:r w:rsidR="004016FF">
        <w:t>en antal rækker opdelt efter NACE koder, altså dele af erhvervslivet, med 5 -10 søjler med de vigtigste krav. Kommunen efterlyser i forlængelse heraf enklere værktøjer for at understøtte virksomhederne i at leve op til taksonomien. Hertil kan lægges at EU</w:t>
      </w:r>
      <w:r w:rsidR="00A154B2">
        <w:t>-</w:t>
      </w:r>
      <w:r w:rsidR="004016FF">
        <w:t>kompasset endnu ikke dækker alle 6 grundlæggende miljøkrav, da det kun er kravene til m</w:t>
      </w:r>
      <w:r w:rsidR="004016FF" w:rsidRPr="00304627">
        <w:t>odvirkning af klimaændringer</w:t>
      </w:r>
      <w:r w:rsidR="004016FF">
        <w:t xml:space="preserve"> og t</w:t>
      </w:r>
      <w:r w:rsidR="004016FF" w:rsidRPr="00304627">
        <w:t>ilpasning til klimaændringer</w:t>
      </w:r>
      <w:r w:rsidR="004016FF">
        <w:rPr>
          <w:vanish/>
        </w:rPr>
        <w:t xml:space="preserve"> etrt</w:t>
      </w:r>
    </w:p>
    <w:p w14:paraId="60344C01" w14:textId="6F9A56CF" w:rsidR="00F92F84" w:rsidRPr="00DE14A5" w:rsidRDefault="004016FF" w:rsidP="00DE14A5">
      <w:r>
        <w:t xml:space="preserve"> Der er gældende lov pt (august 2022, EU 2022)</w:t>
      </w:r>
    </w:p>
    <w:p w14:paraId="730D204D" w14:textId="6422E75B" w:rsidR="00391324" w:rsidRDefault="00391324" w:rsidP="00391324">
      <w:r>
        <w:t>En fælles observation af kommunernes i de to regioner er at de</w:t>
      </w:r>
      <w:r w:rsidR="00A154B2">
        <w:t>n</w:t>
      </w:r>
      <w:r>
        <w:t xml:space="preserve"> overordnede strategi greb om erhvervsudvikling minder meget om hinanden. Kommunernes indsats på erhvervsområdet kan enten indebære et fokus på spydspidsvirksomheder, hvor kommunen kan bidrage til</w:t>
      </w:r>
      <w:r w:rsidR="0040460C">
        <w:t xml:space="preserve"> </w:t>
      </w:r>
      <w:r>
        <w:t>stadig at flytte grænserne for hvad der er mulighed for at få med ift. Bæredygtighed. Eller kommunerne kan vælge en største fællesnævnertilgang eller endog en oprydningstankegang hvor fokus er på de virksomheder som endnu ikke er kommet med.</w:t>
      </w:r>
      <w:r w:rsidR="0040460C">
        <w:t xml:space="preserve"> </w:t>
      </w:r>
      <w:r>
        <w:t xml:space="preserve">Baseret på de interviews, der er gennemført med kommunale aktører i forbindelse med denne analyse synes der at være en tendens til at vestsvenske kommune udtrykker lidt større fokus på at flytte grænserne for hvad der er mulighed for at få med ift. bæredygtighed, hvor de midtjyske kommunale aktører havde lidt større fokus på at nå bredere ud. </w:t>
      </w:r>
    </w:p>
    <w:p w14:paraId="29CDD44D" w14:textId="3635D3FC" w:rsidR="00DC7BBB" w:rsidRPr="00DC7BBB" w:rsidRDefault="006037DE" w:rsidP="00DC7BBB">
      <w:pPr>
        <w:pStyle w:val="Overskrift1"/>
        <w:rPr>
          <w:b/>
          <w:bCs/>
        </w:rPr>
      </w:pPr>
      <w:bookmarkStart w:id="22" w:name="_Toc112184358"/>
      <w:r>
        <w:rPr>
          <w:b/>
          <w:bCs/>
        </w:rPr>
        <w:t>3</w:t>
      </w:r>
      <w:r w:rsidR="00DC7BBB" w:rsidRPr="00DC7BBB">
        <w:rPr>
          <w:b/>
          <w:bCs/>
        </w:rPr>
        <w:t>.</w:t>
      </w:r>
      <w:r w:rsidR="00DC7BBB">
        <w:rPr>
          <w:b/>
          <w:bCs/>
        </w:rPr>
        <w:t xml:space="preserve"> </w:t>
      </w:r>
      <w:r w:rsidR="00DC7BBB" w:rsidRPr="00DC7BBB">
        <w:rPr>
          <w:b/>
          <w:bCs/>
        </w:rPr>
        <w:t>Analyse</w:t>
      </w:r>
      <w:bookmarkEnd w:id="22"/>
    </w:p>
    <w:p w14:paraId="3DA197F0" w14:textId="57BAC2AE" w:rsidR="00DC7BBB" w:rsidRPr="00DC7BBB" w:rsidRDefault="0040460C" w:rsidP="0040460C">
      <w:r>
        <w:t>Denne analyse søger at udrede hvordan klimaindsatsen kan få kombineres grøn forretningsudvikling, grøn finansiering og digitale værktøjer som understøtter grøn forretningsudvikling og grøn finansiering.</w:t>
      </w:r>
    </w:p>
    <w:p w14:paraId="7EBBC9AF" w14:textId="5826E855" w:rsidR="00A710F8" w:rsidRDefault="0040460C" w:rsidP="00F817C3">
      <w:pPr>
        <w:spacing w:after="0" w:line="240" w:lineRule="auto"/>
      </w:pPr>
      <w:r>
        <w:t>Centralt</w:t>
      </w:r>
      <w:r w:rsidR="003E6C6B">
        <w:t xml:space="preserve"> </w:t>
      </w:r>
      <w:r>
        <w:t>for tænkning</w:t>
      </w:r>
      <w:r w:rsidR="00A710F8">
        <w:t xml:space="preserve">en </w:t>
      </w:r>
      <w:r>
        <w:t>i Parisaftalen og i EU ”new green deal” er at staterne og EUs egne ressourcer ikke rækker til at leve op til reduktionen af den globale opvarmning</w:t>
      </w:r>
      <w:r w:rsidR="00A710F8">
        <w:t>. Samtidig er verdensøkonomien ved at udvikle sig til en mere bæredygtig økonomi, hvor ressourcer og ikke kun pekuniær kommer i centrum. Dette betyder at udvikling af strategier og processer som indarbejder bæredygtighed i virksomheders produkter, processer,</w:t>
      </w:r>
      <w:r w:rsidR="003E6C6B">
        <w:t xml:space="preserve"> </w:t>
      </w:r>
      <w:r w:rsidR="00A710F8">
        <w:t>leverandørkrav og kundekanaler, spiller en særlig rolle i det store spil, nemlig som udfyldning af hvordan virksomheder kan omstille sig og samti</w:t>
      </w:r>
      <w:r w:rsidR="004D74E6">
        <w:t>di</w:t>
      </w:r>
      <w:r w:rsidR="00A710F8">
        <w:t>g bidrage til klimahåndteringen.</w:t>
      </w:r>
    </w:p>
    <w:p w14:paraId="4916AD6A" w14:textId="77777777" w:rsidR="00A710F8" w:rsidRDefault="00A710F8" w:rsidP="00F817C3">
      <w:pPr>
        <w:spacing w:after="0" w:line="240" w:lineRule="auto"/>
      </w:pPr>
    </w:p>
    <w:p w14:paraId="4DB10EAC" w14:textId="0F98385C" w:rsidR="004D74E6" w:rsidRDefault="00A710F8" w:rsidP="00270871">
      <w:pPr>
        <w:spacing w:after="0" w:line="240" w:lineRule="auto"/>
        <w:ind w:right="140"/>
      </w:pPr>
      <w:r>
        <w:t>Forretningsudvikling i form af nye produkter, services, processer leverandører er normalt forandringer</w:t>
      </w:r>
      <w:r w:rsidR="004D74E6">
        <w:t xml:space="preserve"> og aktiviteter </w:t>
      </w:r>
      <w:r>
        <w:t xml:space="preserve">hvor finansieringsspørgsmålet ikke direkte inddrages. Der er flere årsager til dette. Manglende finansiering kan spille rollen som shopstopper for innovation og forandring, men i disse år </w:t>
      </w:r>
      <w:r w:rsidR="004D74E6">
        <w:t xml:space="preserve">er </w:t>
      </w:r>
      <w:r>
        <w:t>situationen i Danske og Svenske virksomheder snarere en uvanlig gunstig situation når det gælder investering i innovation som bæredygtighed indebærer. Virksomheder har en usædvanlig lav låntagning (</w:t>
      </w:r>
      <w:r w:rsidR="00BF7396">
        <w:t xml:space="preserve">Danmarks </w:t>
      </w:r>
      <w:r>
        <w:t>Nationalbank</w:t>
      </w:r>
      <w:r w:rsidR="00BF7396">
        <w:t xml:space="preserve"> 2021,</w:t>
      </w:r>
      <w:r>
        <w:t xml:space="preserve"> 2022, Riksbanken 20</w:t>
      </w:r>
      <w:r w:rsidR="002471B3">
        <w:t>2</w:t>
      </w:r>
      <w:r>
        <w:t>2</w:t>
      </w:r>
      <w:r w:rsidR="002471B3">
        <w:t>, SCB 2022</w:t>
      </w:r>
      <w:r>
        <w:t>)</w:t>
      </w:r>
      <w:r w:rsidR="004D74E6">
        <w:t xml:space="preserve"> og der er et usædvanligt stort spillerum for investeringer i mange brancher. </w:t>
      </w:r>
    </w:p>
    <w:p w14:paraId="4DAF0C40" w14:textId="77777777" w:rsidR="004D74E6" w:rsidRDefault="004D74E6" w:rsidP="00F817C3">
      <w:pPr>
        <w:spacing w:after="0" w:line="240" w:lineRule="auto"/>
      </w:pPr>
    </w:p>
    <w:p w14:paraId="3B27F453" w14:textId="47190FB0" w:rsidR="004D74E6" w:rsidRDefault="004D74E6" w:rsidP="00F817C3">
      <w:pPr>
        <w:spacing w:after="0" w:line="240" w:lineRule="auto"/>
      </w:pPr>
      <w:r>
        <w:t>Men det skal her medtænkes at klimaindsatsen ikke bare skal følge en sædvanlig investeringstakt.</w:t>
      </w:r>
      <w:r w:rsidR="003E6C6B">
        <w:t xml:space="preserve"> </w:t>
      </w:r>
      <w:r>
        <w:t>Bæredygtighedsinvesteringer skal tværtimod accelereres.</w:t>
      </w:r>
    </w:p>
    <w:p w14:paraId="4D6EB070" w14:textId="77777777" w:rsidR="004D74E6" w:rsidRDefault="004D74E6" w:rsidP="00F817C3">
      <w:pPr>
        <w:spacing w:after="0" w:line="240" w:lineRule="auto"/>
      </w:pPr>
    </w:p>
    <w:p w14:paraId="31BFE79F" w14:textId="58D0BF29" w:rsidR="00F94D3F" w:rsidRDefault="004D74E6" w:rsidP="00F817C3">
      <w:pPr>
        <w:spacing w:after="0" w:line="240" w:lineRule="auto"/>
      </w:pPr>
      <w:r>
        <w:t>Endelig er der så et stort behov for at udvikle virksomheders greb om målbare forbedringer. Kvantitative målinger af graden af bæredygtighed kan understøtte omstillingen. De målinger som også EU kræver, kræver samtidig håndtering af ret store og komplekse datamængder. Der er kommercielle systemer på markedet i dag som kan understøtte virksomhedernes taksonomiproces</w:t>
      </w:r>
      <w:r w:rsidR="004D631B">
        <w:t>. Det er formentlig sådanne systemer som kan/skal tilpasses</w:t>
      </w:r>
      <w:r>
        <w:t xml:space="preserve"> </w:t>
      </w:r>
      <w:r w:rsidR="004D631B">
        <w:t>danske og svenske</w:t>
      </w:r>
      <w:r>
        <w:t xml:space="preserve"> </w:t>
      </w:r>
      <w:r w:rsidR="004D631B">
        <w:t>forhold og lovgivning. Samtidig er det en strategisk pointe at de nuværende standarder og love for bæredygtighed formentlig vil ændre sig over tid, hvilket betyder at man systemmæssig og kalkulationsmæssigt skal kunne omstillge sine systemer til at understøtte bestandigt nye lovgivninger og standarder.</w:t>
      </w:r>
    </w:p>
    <w:p w14:paraId="3FB47EC4" w14:textId="7D0B5C49" w:rsidR="0040460C" w:rsidRDefault="0040460C" w:rsidP="00F817C3">
      <w:pPr>
        <w:spacing w:after="0" w:line="240" w:lineRule="auto"/>
      </w:pPr>
    </w:p>
    <w:p w14:paraId="7DEEF6B9" w14:textId="00FFFCD2" w:rsidR="00635396" w:rsidRDefault="004D631B" w:rsidP="00F817C3">
      <w:pPr>
        <w:spacing w:after="0" w:line="240" w:lineRule="auto"/>
      </w:pPr>
      <w:r>
        <w:t>Der er altså behov for at koble g</w:t>
      </w:r>
      <w:r w:rsidR="00635396">
        <w:t>røn forretningsudvikling</w:t>
      </w:r>
      <w:r>
        <w:t xml:space="preserve"> med g</w:t>
      </w:r>
      <w:r w:rsidR="00635396">
        <w:t>røn finansiering</w:t>
      </w:r>
      <w:r>
        <w:t xml:space="preserve"> og understøttende d</w:t>
      </w:r>
      <w:r w:rsidR="00635396">
        <w:t>igitale værktøjer</w:t>
      </w:r>
      <w:r>
        <w:t>. Hvilket derfor også er grundtanken i det foreslåede hovedprojekt. GreenBizz 2.</w:t>
      </w:r>
    </w:p>
    <w:p w14:paraId="6C19FEBC" w14:textId="3C4E6E87" w:rsidR="00635396" w:rsidRDefault="00635396" w:rsidP="00F817C3">
      <w:pPr>
        <w:spacing w:after="0" w:line="240" w:lineRule="auto"/>
      </w:pPr>
    </w:p>
    <w:p w14:paraId="32BB6ACB" w14:textId="2096DDF2" w:rsidR="00521682" w:rsidRDefault="00521682" w:rsidP="00F817C3">
      <w:pPr>
        <w:spacing w:after="0" w:line="240" w:lineRule="auto"/>
      </w:pPr>
      <w:r>
        <w:t>Analysen her leder til flere anbefalinger af indsatser</w:t>
      </w:r>
      <w:r w:rsidR="004D631B">
        <w:t xml:space="preserve"> indenfor GreenBizz 2</w:t>
      </w:r>
      <w:r>
        <w:t xml:space="preserve">: </w:t>
      </w:r>
    </w:p>
    <w:p w14:paraId="528C1087" w14:textId="77777777" w:rsidR="00521682" w:rsidRDefault="00521682" w:rsidP="00F817C3">
      <w:pPr>
        <w:spacing w:after="0" w:line="240" w:lineRule="auto"/>
      </w:pPr>
    </w:p>
    <w:p w14:paraId="42490C9E" w14:textId="616CCEE9" w:rsidR="00521682" w:rsidRDefault="00521682" w:rsidP="00521682">
      <w:r>
        <w:t>Der er behov for udvikling af et kvalitativt dialogværktøj baseret på bæredygtighedskategorierne i lovgivningen, der kan bruges til i en indledende</w:t>
      </w:r>
      <w:r w:rsidR="0040460C">
        <w:t xml:space="preserve"> </w:t>
      </w:r>
      <w:r>
        <w:t xml:space="preserve">dialog med den enkelte virksomhed om bæredygtighed og hvordan man kan komme videre med bæredygtighed med taksonomien. </w:t>
      </w:r>
    </w:p>
    <w:p w14:paraId="26EB78ED" w14:textId="205043E3" w:rsidR="00521682" w:rsidRDefault="00521682" w:rsidP="00521682">
      <w:r>
        <w:t>En anden indsats kan være at simplificere det ”taksonomi-kompas”, som Europakommissionen har udviklet ind i de digitale værktøjer som nationale, regionale, decentrale og lokale erhvervsfremmeaktører i KASK-området allerede driver, så viden om denne konkrete bæredygtighedsdefinition kommer ud til virksomhederne.</w:t>
      </w:r>
    </w:p>
    <w:p w14:paraId="2355CA67" w14:textId="3052BEA4" w:rsidR="00521682" w:rsidRDefault="00521682" w:rsidP="00521682">
      <w:r>
        <w:t xml:space="preserve">Der kan også være behov for at virksomhederne kan få rådgivning om grønne forretningsmodeller efter den nye definition. Dette kræver i første omgang at rådgiverne lærer om den nye definition og metoder for dermed at muliggøre en kaskadeeffekt til virksomheder. </w:t>
      </w:r>
    </w:p>
    <w:p w14:paraId="328AD917" w14:textId="5AF77CEA" w:rsidR="00521682" w:rsidRDefault="00521682" w:rsidP="00521682">
      <w:r>
        <w:t>Endelig kan der være et behov for at udvikle rådgivningsværktøjer ud fra lovens definition og for at udvikle metoder til at bringe viden om brug af disse værktøjer ud til rådgiverne.</w:t>
      </w:r>
    </w:p>
    <w:p w14:paraId="54DBDADF" w14:textId="11686F49" w:rsidR="00DC7BBB" w:rsidRDefault="00DC7BBB" w:rsidP="00F817C3">
      <w:pPr>
        <w:spacing w:after="0" w:line="240" w:lineRule="auto"/>
      </w:pPr>
    </w:p>
    <w:p w14:paraId="6E8207ED" w14:textId="06974894" w:rsidR="00DC7BBB" w:rsidRPr="00DC7BBB" w:rsidRDefault="006037DE" w:rsidP="00DC7BBB">
      <w:pPr>
        <w:pStyle w:val="Overskrift1"/>
        <w:rPr>
          <w:b/>
          <w:bCs/>
        </w:rPr>
      </w:pPr>
      <w:bookmarkStart w:id="23" w:name="_Toc112184359"/>
      <w:r>
        <w:rPr>
          <w:b/>
          <w:bCs/>
        </w:rPr>
        <w:t>4</w:t>
      </w:r>
      <w:r w:rsidR="00DC7BBB" w:rsidRPr="00DC7BBB">
        <w:rPr>
          <w:b/>
          <w:bCs/>
        </w:rPr>
        <w:t xml:space="preserve">. </w:t>
      </w:r>
      <w:r w:rsidR="0063003F">
        <w:rPr>
          <w:b/>
          <w:bCs/>
        </w:rPr>
        <w:t>U</w:t>
      </w:r>
      <w:r w:rsidR="00DC7BBB" w:rsidRPr="00DC7BBB">
        <w:rPr>
          <w:b/>
          <w:bCs/>
        </w:rPr>
        <w:t>dviklingsperspektiver</w:t>
      </w:r>
      <w:bookmarkEnd w:id="23"/>
    </w:p>
    <w:p w14:paraId="6A733DD0" w14:textId="301B7EDE" w:rsidR="00F94D3F" w:rsidRDefault="00F94D3F" w:rsidP="00F817C3">
      <w:pPr>
        <w:spacing w:after="0" w:line="240" w:lineRule="auto"/>
      </w:pPr>
    </w:p>
    <w:p w14:paraId="29DEE204" w14:textId="5043CD15" w:rsidR="00DC7BBB" w:rsidRPr="00C54727" w:rsidRDefault="00B4070A" w:rsidP="00F817C3">
      <w:pPr>
        <w:spacing w:after="0" w:line="240" w:lineRule="auto"/>
        <w:rPr>
          <w:sz w:val="24"/>
          <w:szCs w:val="24"/>
        </w:rPr>
      </w:pPr>
      <w:r>
        <w:rPr>
          <w:sz w:val="24"/>
          <w:szCs w:val="24"/>
        </w:rPr>
        <w:t>Der er altså et</w:t>
      </w:r>
      <w:r w:rsidR="003E6C6B">
        <w:rPr>
          <w:sz w:val="24"/>
          <w:szCs w:val="24"/>
        </w:rPr>
        <w:t xml:space="preserve"> </w:t>
      </w:r>
      <w:r>
        <w:rPr>
          <w:sz w:val="24"/>
          <w:szCs w:val="24"/>
        </w:rPr>
        <w:t xml:space="preserve">betydeligt </w:t>
      </w:r>
      <w:r w:rsidR="00DC7BBB" w:rsidRPr="00C54727">
        <w:rPr>
          <w:sz w:val="24"/>
          <w:szCs w:val="24"/>
        </w:rPr>
        <w:t xml:space="preserve">behov for </w:t>
      </w:r>
      <w:r>
        <w:rPr>
          <w:sz w:val="24"/>
          <w:szCs w:val="24"/>
        </w:rPr>
        <w:t>indsatser i Interregs område som kan udvikle koblingen mellem</w:t>
      </w:r>
      <w:r w:rsidR="0040460C">
        <w:rPr>
          <w:sz w:val="24"/>
          <w:szCs w:val="24"/>
        </w:rPr>
        <w:t xml:space="preserve"> </w:t>
      </w:r>
      <w:r>
        <w:rPr>
          <w:sz w:val="24"/>
          <w:szCs w:val="24"/>
        </w:rPr>
        <w:t>grøn forretningsudvikling, grøn finansiering og digitale værktøjer, sådan som</w:t>
      </w:r>
      <w:r w:rsidR="0040460C">
        <w:rPr>
          <w:sz w:val="24"/>
          <w:szCs w:val="24"/>
        </w:rPr>
        <w:t xml:space="preserve"> </w:t>
      </w:r>
      <w:r>
        <w:rPr>
          <w:sz w:val="24"/>
          <w:szCs w:val="24"/>
        </w:rPr>
        <w:t>G</w:t>
      </w:r>
      <w:r w:rsidR="00DC7BBB" w:rsidRPr="00C54727">
        <w:rPr>
          <w:sz w:val="24"/>
          <w:szCs w:val="24"/>
        </w:rPr>
        <w:t>reenbizz2</w:t>
      </w:r>
      <w:r>
        <w:rPr>
          <w:sz w:val="24"/>
          <w:szCs w:val="24"/>
        </w:rPr>
        <w:t xml:space="preserve"> projektforslaget gør et </w:t>
      </w:r>
    </w:p>
    <w:p w14:paraId="32A8E58F" w14:textId="6AFED440" w:rsidR="00F94D3F" w:rsidRPr="00C54727" w:rsidRDefault="00F94D3F" w:rsidP="00F817C3">
      <w:pPr>
        <w:spacing w:after="0" w:line="240" w:lineRule="auto"/>
        <w:rPr>
          <w:sz w:val="24"/>
          <w:szCs w:val="24"/>
        </w:rPr>
      </w:pPr>
    </w:p>
    <w:p w14:paraId="4D21875F" w14:textId="5A81DE26" w:rsidR="00FD3569" w:rsidRPr="00C54727" w:rsidRDefault="00B4070A" w:rsidP="00F817C3">
      <w:pPr>
        <w:spacing w:after="0" w:line="240" w:lineRule="auto"/>
        <w:rPr>
          <w:sz w:val="24"/>
          <w:szCs w:val="24"/>
        </w:rPr>
      </w:pPr>
      <w:r>
        <w:rPr>
          <w:sz w:val="24"/>
          <w:szCs w:val="24"/>
        </w:rPr>
        <w:t>Især store v</w:t>
      </w:r>
      <w:r w:rsidR="00FD3569" w:rsidRPr="00C54727">
        <w:rPr>
          <w:sz w:val="24"/>
          <w:szCs w:val="24"/>
        </w:rPr>
        <w:t xml:space="preserve">irksomhederne har </w:t>
      </w:r>
      <w:r>
        <w:rPr>
          <w:sz w:val="24"/>
          <w:szCs w:val="24"/>
        </w:rPr>
        <w:t xml:space="preserve">idag </w:t>
      </w:r>
      <w:r w:rsidR="00FD3569" w:rsidRPr="00C54727">
        <w:rPr>
          <w:sz w:val="24"/>
          <w:szCs w:val="24"/>
        </w:rPr>
        <w:t>for lille fokus på leverandørers bidrag til bæredygtighed/CO2</w:t>
      </w:r>
      <w:r w:rsidR="00C605BC">
        <w:rPr>
          <w:sz w:val="24"/>
          <w:szCs w:val="24"/>
        </w:rPr>
        <w:t xml:space="preserve">, sådan som Greenhouse Gas Protocol ellers lægger op til. De store virksomheder vil kunne trække udviklingen af mindre og mellemstore virksomheder. </w:t>
      </w:r>
    </w:p>
    <w:p w14:paraId="34E5A787" w14:textId="77777777" w:rsidR="00F94D3F" w:rsidRPr="0040460C" w:rsidRDefault="00F94D3F" w:rsidP="00F817C3">
      <w:pPr>
        <w:spacing w:after="0" w:line="240" w:lineRule="auto"/>
      </w:pPr>
    </w:p>
    <w:p w14:paraId="0C1C7A68" w14:textId="383858E5" w:rsidR="00F94D3F" w:rsidRDefault="00F94D3F" w:rsidP="00F817C3">
      <w:pPr>
        <w:spacing w:after="0" w:line="240" w:lineRule="auto"/>
      </w:pPr>
    </w:p>
    <w:p w14:paraId="64B70F2C" w14:textId="77777777" w:rsidR="002208BE" w:rsidRPr="0040460C" w:rsidRDefault="002208BE" w:rsidP="00F817C3">
      <w:pPr>
        <w:spacing w:after="0" w:line="240" w:lineRule="auto"/>
      </w:pPr>
    </w:p>
    <w:p w14:paraId="7C071C46" w14:textId="50598E41" w:rsidR="00F94D3F" w:rsidRPr="00DE14A5" w:rsidRDefault="00280064" w:rsidP="00DE14A5">
      <w:pPr>
        <w:pStyle w:val="Overskrift1"/>
        <w:rPr>
          <w:b/>
          <w:bCs/>
          <w:sz w:val="32"/>
          <w:szCs w:val="36"/>
        </w:rPr>
      </w:pPr>
      <w:bookmarkStart w:id="24" w:name="_Toc112184360"/>
      <w:r w:rsidRPr="00DE14A5">
        <w:rPr>
          <w:b/>
          <w:bCs/>
          <w:sz w:val="32"/>
          <w:szCs w:val="36"/>
        </w:rPr>
        <w:t>5 Konklusion</w:t>
      </w:r>
      <w:bookmarkEnd w:id="24"/>
    </w:p>
    <w:p w14:paraId="75319586" w14:textId="0A4225ED" w:rsidR="00F94D3F" w:rsidRPr="0040460C" w:rsidRDefault="00F94D3F" w:rsidP="00F817C3">
      <w:pPr>
        <w:spacing w:after="0" w:line="240" w:lineRule="auto"/>
      </w:pPr>
    </w:p>
    <w:p w14:paraId="51E10933" w14:textId="6C8F8301" w:rsidR="00C605BC" w:rsidRPr="0040460C" w:rsidRDefault="00C605BC" w:rsidP="00F817C3">
      <w:pPr>
        <w:spacing w:after="0" w:line="240" w:lineRule="auto"/>
        <w:rPr>
          <w:rFonts w:cs="Arial"/>
        </w:rPr>
      </w:pPr>
      <w:r w:rsidRPr="0040460C">
        <w:rPr>
          <w:rFonts w:cs="Arial"/>
        </w:rPr>
        <w:t xml:space="preserve">Dette projekts formål er at analysere, afdække og definere virksomheders behov for hjælp til udvikling af grønne forretningsmodeller ved en øget anvendelse af vedvarende energi i forhold til det samlede energiforbrug blandt små og mellemstore virksomheder (SMV¿er) i KASK-området. </w:t>
      </w:r>
    </w:p>
    <w:p w14:paraId="1718CA29" w14:textId="77777777" w:rsidR="00C605BC" w:rsidRPr="0040460C" w:rsidRDefault="00C605BC" w:rsidP="00F817C3">
      <w:pPr>
        <w:spacing w:after="0" w:line="240" w:lineRule="auto"/>
        <w:rPr>
          <w:rFonts w:cs="Arial"/>
        </w:rPr>
      </w:pPr>
    </w:p>
    <w:p w14:paraId="66EBDDC3" w14:textId="427C2DB6" w:rsidR="00C605BC" w:rsidRPr="0040460C" w:rsidRDefault="00C605BC" w:rsidP="00C605BC">
      <w:r w:rsidRPr="0040460C">
        <w:t>I både Danmark og Sverige har kommunerne en række muligheder for at understøtte udviklingen af erhvervslivet.</w:t>
      </w:r>
      <w:r w:rsidR="00521682" w:rsidRPr="0040460C">
        <w:t xml:space="preserve"> Taksonomilovgi</w:t>
      </w:r>
      <w:r w:rsidR="00391324" w:rsidRPr="0040460C">
        <w:t>v</w:t>
      </w:r>
      <w:r w:rsidR="00521682" w:rsidRPr="0040460C">
        <w:t>ninge</w:t>
      </w:r>
      <w:r w:rsidR="00391324" w:rsidRPr="0040460C">
        <w:t>n</w:t>
      </w:r>
      <w:r w:rsidR="00521682" w:rsidRPr="0040460C">
        <w:t xml:space="preserve"> understøtter</w:t>
      </w:r>
      <w:r w:rsidR="0040460C">
        <w:t xml:space="preserve"> </w:t>
      </w:r>
      <w:r w:rsidR="00521682" w:rsidRPr="0040460C">
        <w:t>megatrenden</w:t>
      </w:r>
      <w:r w:rsidRPr="0040460C">
        <w:t xml:space="preserve"> i erhvervslivet </w:t>
      </w:r>
      <w:r w:rsidR="00521682" w:rsidRPr="0040460C">
        <w:t>der opprioriterer</w:t>
      </w:r>
      <w:r w:rsidRPr="0040460C">
        <w:t xml:space="preserve"> klimaneutralitet og mere bæredygtighed.</w:t>
      </w:r>
      <w:r w:rsidR="0040460C">
        <w:t xml:space="preserve"> </w:t>
      </w:r>
      <w:r w:rsidRPr="0040460C">
        <w:t xml:space="preserve">Hvor rigtigt mange virksomheder er i fuld gang med at indarbejde bæredygtighedselementer i deres forretning så viser de indsamlede data i denne analyse at omkring en tredjedel af alle små og mellemstore virksomheder ikke arbejder med bæredygtighed. </w:t>
      </w:r>
    </w:p>
    <w:p w14:paraId="01A77B27" w14:textId="5E84DE4A" w:rsidR="00C605BC" w:rsidRPr="0040460C" w:rsidRDefault="00087E19" w:rsidP="00C605BC">
      <w:r w:rsidRPr="0040460C">
        <w:t>K</w:t>
      </w:r>
      <w:r w:rsidR="00C605BC" w:rsidRPr="0040460C">
        <w:t>ommun</w:t>
      </w:r>
      <w:r w:rsidRPr="0040460C">
        <w:t>ernes</w:t>
      </w:r>
      <w:r w:rsidR="00C605BC" w:rsidRPr="0040460C">
        <w:t xml:space="preserve"> </w:t>
      </w:r>
      <w:r w:rsidRPr="0040460C">
        <w:t>indsats</w:t>
      </w:r>
      <w:r w:rsidR="00C605BC" w:rsidRPr="0040460C">
        <w:t xml:space="preserve"> på erhvervsområdet kan </w:t>
      </w:r>
      <w:r w:rsidR="002B3E22" w:rsidRPr="0040460C">
        <w:t xml:space="preserve">som beskrevet ovenfor </w:t>
      </w:r>
      <w:r w:rsidR="00C605BC" w:rsidRPr="0040460C">
        <w:t>tage forskellige strategiske retninger - enten et fokus på de virksomheder som er ”bedst i klassen” og stadig flytte grænserne for hvad der er mulighed for at få med ift. bæredygtighed, eller en ”alle skal med”-tilgang hvor fokus er på de virksomheder som endnu ikke er kommet med.</w:t>
      </w:r>
      <w:r w:rsidR="0040460C">
        <w:t xml:space="preserve"> </w:t>
      </w:r>
      <w:r w:rsidR="00C605BC" w:rsidRPr="0040460C">
        <w:t xml:space="preserve">Baseret på de interviews, der er gennemført med kommunale aktører i forbindelse med denne analyse synes der at være en tendens til at vestsvenske kommune udtrykker lidt større fokus på at flytte grænserne for hvad der er mulighed for at få med ift. bæredygtighed, hvor de midtjyske kommunale aktører havde lidt større fokus på at nå bredere ud. </w:t>
      </w:r>
    </w:p>
    <w:p w14:paraId="112C3D92" w14:textId="581DD117" w:rsidR="00C605BC" w:rsidRPr="0040460C" w:rsidRDefault="00C605BC" w:rsidP="00C605BC">
      <w:r w:rsidRPr="0040460C">
        <w:t>Det kan skyldes forskellig fokus i bæredygtighedsarbejdet, hvor der kan være potentiale for at skabe merværdi gennem overførsel af viden og praksis over grænsen.</w:t>
      </w:r>
      <w:r w:rsidR="003E6C6B">
        <w:t xml:space="preserve"> </w:t>
      </w:r>
      <w:r w:rsidRPr="0040460C">
        <w:t>Det kan dog også skyldes, at den nuværende danske lovgivning gør at kommuner lokalt skal fokusere på basale spørgsmål. Mere specialiserede indsatser anvises i lovgivningen til de tværkommunale Erhvervshuse.</w:t>
      </w:r>
      <w:r w:rsidR="0040460C">
        <w:t xml:space="preserve"> </w:t>
      </w:r>
    </w:p>
    <w:p w14:paraId="6942B892" w14:textId="092B6579" w:rsidR="00C605BC" w:rsidRPr="0040460C" w:rsidRDefault="00C605BC" w:rsidP="00C605BC">
      <w:r w:rsidRPr="0040460C">
        <w:t>Bæredygtighed kan af og til fremstå som et bredt og rummeligt begreb.</w:t>
      </w:r>
      <w:r w:rsidR="0040460C">
        <w:t xml:space="preserve"> </w:t>
      </w:r>
      <w:r w:rsidRPr="0040460C">
        <w:t>Imidlertid er det ofte enklere for både virksomheder og offentlige erhvervsaktører at arbejde med en mere konkret legitim definition end med et mere bredt, rummeligt begreb. En sådan konkretisering af bæredygtighed har de europæiske lovgivere skabt med den lovgivningspakke, der skal hindre ”grønvask” i den finansielle sektor og som omfatter flere EU</w:t>
      </w:r>
      <w:r w:rsidR="003578D8">
        <w:t>-</w:t>
      </w:r>
      <w:r w:rsidRPr="0040460C">
        <w:t>forordninger og direktiver. ”Grønvask” angiver når noget fremstår som bæredygtigt på grønne parametre uden at være det i virkeligheden. Loven definerer seks kategorier af bæredygtighed, og der på basis af loven lavet et opslagsværk, hvor der branche for branche vises konkrete videnskab</w:t>
      </w:r>
      <w:r w:rsidR="003578D8">
        <w:t>e</w:t>
      </w:r>
      <w:r w:rsidRPr="0040460C">
        <w:t>ligt baserede parametre og parameterværdier, der angiver om man er bæredygtig eller ej. Forebyggelse af klimaændringer, blandt andet ved at øge andelen af vedvarende energi ift. total energi, samt cirkulær økonomi er to af de seks kategorier.</w:t>
      </w:r>
    </w:p>
    <w:p w14:paraId="3FAF96AA" w14:textId="7B83C79E" w:rsidR="00C605BC" w:rsidRPr="00DE14A5" w:rsidRDefault="00C605BC" w:rsidP="00C605BC">
      <w:pPr>
        <w:pStyle w:val="Default"/>
        <w:rPr>
          <w:rFonts w:ascii="Cambria" w:hAnsi="Cambria"/>
        </w:rPr>
      </w:pPr>
      <w:r w:rsidRPr="00DE14A5">
        <w:rPr>
          <w:rFonts w:ascii="Cambria" w:hAnsi="Cambria"/>
        </w:rPr>
        <w:t>Økonomiske aktiviteter, der overholder definitionen, kan finansielle aktører kalde ”bæredygtige”, med en definition, der lægger vægt på at modvirke klimaændringer. I en tid med stor efterspørgsel efter grønne investeringer vil sådanne aktiviteter antageligt få nemmere ved at finansiere sig. Lovgivningen omfatter også styring af banker og andre finansielle institutioners långivning.</w:t>
      </w:r>
      <w:r w:rsidR="0040460C">
        <w:rPr>
          <w:rFonts w:ascii="Cambria" w:hAnsi="Cambria"/>
        </w:rPr>
        <w:t xml:space="preserve"> </w:t>
      </w:r>
      <w:r w:rsidRPr="00DE14A5">
        <w:rPr>
          <w:rFonts w:ascii="Cambria" w:hAnsi="Cambria"/>
        </w:rPr>
        <w:t>Det er netop et politiske mål med lovgivningen at den skal være en ”game changer” som bidrager til at realisere flere grønne privatsektorinvesteringer. Den har allerede effekt ved det at vi i dette projekt har undersøgt i årsregnskaber for 2021 i danske og vestsvenske børsnoterede virksomheder: for det første kan man se, at de børsnoterede virksomheder overholder lovgivningen og derfor vurderer på skrift i hvor høj de er dækket af</w:t>
      </w:r>
      <w:r w:rsidR="0040460C">
        <w:rPr>
          <w:rFonts w:ascii="Cambria" w:hAnsi="Cambria"/>
        </w:rPr>
        <w:t xml:space="preserve"> </w:t>
      </w:r>
      <w:r w:rsidRPr="00DE14A5">
        <w:rPr>
          <w:rFonts w:ascii="Cambria" w:hAnsi="Cambria"/>
        </w:rPr>
        <w:t xml:space="preserve">EUs lovgivning om bæredygtige aktiviteter. For det andet viser vores deskstudie af danske og svensk børsnoterede virksomheder at de er ved at forberede sig til per 1 januar 2023 at på skrift redegøre hvor stor en andel af aktiviteterne, der er bæredygtige. Tilsvarende er banker og finansielle institutter ved at gøre sig klar til at redegøre for andelen af deres lånebog som er bæredygtig. Vort deskstudie af årsregnskaber og andet materiale fra bankerne tyder på at de er mere parate end virksomhederne er. </w:t>
      </w:r>
    </w:p>
    <w:p w14:paraId="4E33BCD7" w14:textId="5CB4114E" w:rsidR="00C605BC" w:rsidRPr="0040460C" w:rsidRDefault="00C605BC" w:rsidP="00C605BC">
      <w:r w:rsidRPr="0040460C">
        <w:t>Når det gælder</w:t>
      </w:r>
      <w:r w:rsidRPr="00DE14A5">
        <w:t xml:space="preserve"> aktører i den kommunale erhvervsfremme i både Vestsverige og Midtjylland </w:t>
      </w:r>
      <w:r w:rsidRPr="0040460C">
        <w:t xml:space="preserve">viser vores analyse at de </w:t>
      </w:r>
      <w:r w:rsidRPr="00DE14A5">
        <w:t>i lang tid har arbejdet med de kategorier af bæredygtighed som er defineret i den nye lov. Da undersøgelsen blev lavet i vinteren og foråret 2022 gjorde de imidlertid ikke koblingen til ’taksonomien’ som loven kaldes og beherskede derfor heller ikke ’taksonomien. Finansielle aktører i Danmark og Sverige derimod bekræfter at de har</w:t>
      </w:r>
      <w:r w:rsidR="0040460C">
        <w:t xml:space="preserve"> </w:t>
      </w:r>
      <w:r w:rsidRPr="00DE14A5">
        <w:t xml:space="preserve">fokus på og bruger ressourcer på ’taksonomien’ nu og i varierende grad har gjort det siden 2021. </w:t>
      </w:r>
      <w:r w:rsidRPr="0040460C">
        <w:t xml:space="preserve">Der er behov for en grundlæggende indsats for at få kommunikeret til erhvervsfremmeaktører, hvordan koblingen er mellem taksonomiens kategorisering af bæredygtighed og deres hidtidige bæredygtighedsarbejde, så erhvervsfremmeaktørerne endnu bedre kan understøtte at virksomhederne får adgang til grøn finansiering. </w:t>
      </w:r>
    </w:p>
    <w:p w14:paraId="31E07014" w14:textId="77777777" w:rsidR="00C605BC" w:rsidRPr="0040460C" w:rsidRDefault="00C605BC" w:rsidP="00C605BC">
      <w:r w:rsidRPr="0040460C">
        <w:t>En sådan indsats kan blandt andet have flere elementer. Dels udvikling af et kvalitativt dialogværktøj baseret på bæredygtighedskategorierne i ”anti-Grønvask”-lovgivningen, der kan bruges til i en indledende mere basal dialog med den enkelte virksomhed om bæredygtighed og hvordan man kan komme videre med bæredygtighedsarbejdet med den nye systematik fra taksonomien. En anden indsats kan være at simplificere det ”taksonomi-kompas”, som Europakommissionen har udviklet ind i de digitale værktøjer som nationale, regionale, decentrale og lokale erhvervsfremmeaktører i KASK-området allerede driver, så viden om denne konkrete bæredygtighedsdefinition kommer ud til virksomhederne.</w:t>
      </w:r>
    </w:p>
    <w:p w14:paraId="0A387F4B" w14:textId="77777777" w:rsidR="00C605BC" w:rsidRPr="0040460C" w:rsidRDefault="00C605BC" w:rsidP="00C605BC">
      <w:r w:rsidRPr="0040460C">
        <w:t>Der kan også være behov for at virksomhederne kan få rådgivning om grønne forretningsmodeller efter den nye definition. Dette kræver ikke, at virksomhederne lærer om den, men derimod at rådgiverne gør. Der kan være et behov for at udvikle rådgivningsværktøjer ud lovens definition og for at udvikle metoder til at bringe viden om brug af disse værktøjer ud til rådgiverne.</w:t>
      </w:r>
    </w:p>
    <w:p w14:paraId="3478136C" w14:textId="45732AF9" w:rsidR="00C605BC" w:rsidRPr="0040460C" w:rsidRDefault="00C605BC" w:rsidP="00C605BC">
      <w:r w:rsidRPr="0040460C">
        <w:t>Endelig har analysen vist at finansaktører arbejder meget med taksonomien men stadig fra en compliance-vinkel med at overholde loven, frem for at realisere forretningspotentialet i øget finansiering af grønne økonomiske aktiviteter.</w:t>
      </w:r>
      <w:r w:rsidR="0040460C">
        <w:t xml:space="preserve"> </w:t>
      </w:r>
      <w:r w:rsidRPr="0040460C">
        <w:t>Således bruges fx i visse tilfælde et gennemsnitstal for branchen for at vurdere hvorvidt en virksomhed overholder bæredygtighedsdefinitionen i loven. Imidlertid fjerner brugen af gennemsnitstal incitamentet fra den enkelte virksomhed til at øge sin grønne andel, fordi man bliver vurderet på et gennemsnitstal og ikke sin egen forbedring. Samtidigt vil finansielle aktører kun kunne øge deres grønne andel ved at trække sig fra brancher med dårlige grønne tal, fremfor at levere grøn finansiering til de virksomheder som rent faktisk omstiller sig i bæredygtig retning.</w:t>
      </w:r>
      <w:r w:rsidR="0040460C">
        <w:t xml:space="preserve"> </w:t>
      </w:r>
      <w:r w:rsidRPr="0040460C">
        <w:t>Der synes således at være et behov for en indsats for at realisere forretningspotentialet i den nye ”anti-grønvask”-lov ved at finansielle aktører videreudvikler deres systemer, så de kan håndtere faktiske bæredygtighedstal fra de enkelte virksomheder.</w:t>
      </w:r>
      <w:r w:rsidR="0040460C">
        <w:t xml:space="preserve"> </w:t>
      </w:r>
      <w:r w:rsidRPr="0040460C">
        <w:t>Tal, der meget vel kan stamme fra en rådgiver, der har arbejdet med de rådgivningsværktøjer som også nævnes ovenfor.</w:t>
      </w:r>
    </w:p>
    <w:p w14:paraId="6290C833" w14:textId="77777777" w:rsidR="00C605BC" w:rsidRPr="0040460C" w:rsidRDefault="00C605BC" w:rsidP="00F817C3">
      <w:pPr>
        <w:spacing w:after="0" w:line="240" w:lineRule="auto"/>
        <w:rPr>
          <w:rFonts w:cs="Arial"/>
        </w:rPr>
      </w:pPr>
    </w:p>
    <w:p w14:paraId="26B5AC79" w14:textId="0E7C1534" w:rsidR="00F94D3F" w:rsidRPr="0040460C" w:rsidRDefault="00C605BC" w:rsidP="00F817C3">
      <w:pPr>
        <w:spacing w:after="0" w:line="240" w:lineRule="auto"/>
      </w:pPr>
      <w:r w:rsidRPr="0040460C">
        <w:rPr>
          <w:rFonts w:cs="Arial"/>
        </w:rPr>
        <w:t>Derigennem har dette projekt skabt grundlag for et hovedprojekt, som vil blive søgt i Policy Objective, om en bæredygtig, cirkulær og klimasmart region. Projektet er nu under udvikling under navnet ”GreenBIzz 2”. I</w:t>
      </w:r>
      <w:r w:rsidR="0040460C">
        <w:rPr>
          <w:rFonts w:cs="Arial"/>
        </w:rPr>
        <w:t xml:space="preserve"> </w:t>
      </w:r>
      <w:r w:rsidRPr="0040460C">
        <w:rPr>
          <w:rFonts w:cs="Arial"/>
        </w:rPr>
        <w:t>dette projekt vil der også være fokus på hvordan og</w:t>
      </w:r>
      <w:r w:rsidR="0040460C">
        <w:rPr>
          <w:rFonts w:cs="Arial"/>
        </w:rPr>
        <w:t xml:space="preserve"> </w:t>
      </w:r>
      <w:r w:rsidRPr="0040460C">
        <w:rPr>
          <w:rFonts w:cs="Arial"/>
        </w:rPr>
        <w:t>hvor forretningsmodeller baseret på bæredygtighed og som er del af den cirkulære økonomi kan gennemføres med grøn finansiering fra blandt andet banker og derved ved en tværregional indsats både bidrager til regionens konkurrencekraft og til forebyggelse af og tilpasning til klimaændringer</w:t>
      </w:r>
    </w:p>
    <w:p w14:paraId="4E01D2E6" w14:textId="79C21F83" w:rsidR="00E462DB" w:rsidRPr="0040460C" w:rsidRDefault="00E462DB">
      <w:pPr>
        <w:spacing w:after="0" w:line="240" w:lineRule="auto"/>
      </w:pPr>
      <w:r w:rsidRPr="0040460C">
        <w:br w:type="page"/>
      </w:r>
    </w:p>
    <w:p w14:paraId="7361422F" w14:textId="7E7193F0" w:rsidR="00E462DB" w:rsidRPr="00C54727" w:rsidRDefault="00C54727" w:rsidP="00C54727">
      <w:pPr>
        <w:pStyle w:val="Overskrift1"/>
        <w:rPr>
          <w:b/>
          <w:bCs/>
          <w:sz w:val="24"/>
          <w:szCs w:val="24"/>
          <w:lang w:val="sv-SE"/>
        </w:rPr>
      </w:pPr>
      <w:bookmarkStart w:id="25" w:name="_Toc112184361"/>
      <w:r w:rsidRPr="00C54727">
        <w:rPr>
          <w:rStyle w:val="Overskrift1Tegn"/>
          <w:rFonts w:eastAsia="Calibri"/>
          <w:b/>
          <w:bCs/>
          <w:lang w:val="sv-SE"/>
        </w:rPr>
        <w:t xml:space="preserve">6 </w:t>
      </w:r>
      <w:r w:rsidR="00E462DB" w:rsidRPr="00C54727">
        <w:rPr>
          <w:rStyle w:val="Overskrift1Tegn"/>
          <w:rFonts w:eastAsia="Calibri"/>
          <w:b/>
          <w:bCs/>
          <w:lang w:val="sv-SE"/>
        </w:rPr>
        <w:t>Referencer</w:t>
      </w:r>
      <w:bookmarkEnd w:id="25"/>
      <w:r w:rsidR="00E462DB" w:rsidRPr="00C54727">
        <w:rPr>
          <w:b/>
          <w:bCs/>
          <w:sz w:val="24"/>
          <w:szCs w:val="24"/>
          <w:lang w:val="sv-SE"/>
        </w:rPr>
        <w:t xml:space="preserve"> </w:t>
      </w:r>
    </w:p>
    <w:p w14:paraId="7535093F" w14:textId="77777777" w:rsidR="00E462DB" w:rsidRPr="00C54727" w:rsidRDefault="00E462DB" w:rsidP="00E462DB">
      <w:pPr>
        <w:rPr>
          <w:sz w:val="24"/>
          <w:szCs w:val="24"/>
          <w:lang w:val="sv-SE"/>
        </w:rPr>
      </w:pPr>
      <w:r w:rsidRPr="00C54727">
        <w:rPr>
          <w:sz w:val="24"/>
          <w:szCs w:val="24"/>
          <w:lang w:val="sv-SE"/>
        </w:rPr>
        <w:t xml:space="preserve">2050 (2021). Västsvenska företags syn på hållbarhet och klimat. 2050 Consulting. Stockholm. </w:t>
      </w:r>
    </w:p>
    <w:p w14:paraId="05FEB872" w14:textId="650003CE" w:rsidR="006B137B" w:rsidRPr="006B137B" w:rsidRDefault="006B137B" w:rsidP="00E462DB">
      <w:pPr>
        <w:rPr>
          <w:sz w:val="24"/>
          <w:szCs w:val="24"/>
        </w:rPr>
      </w:pPr>
      <w:r w:rsidRPr="006B137B">
        <w:rPr>
          <w:sz w:val="24"/>
          <w:szCs w:val="24"/>
        </w:rPr>
        <w:t>ALMI (2022): Almi-s hjemmeside, https://www.almi.se</w:t>
      </w:r>
      <w:r>
        <w:rPr>
          <w:sz w:val="24"/>
          <w:szCs w:val="24"/>
        </w:rPr>
        <w:t>.</w:t>
      </w:r>
    </w:p>
    <w:p w14:paraId="0EB09F9D" w14:textId="168EF94D" w:rsidR="00E462DB" w:rsidRPr="00C54727" w:rsidRDefault="00E462DB" w:rsidP="00E462DB">
      <w:pPr>
        <w:rPr>
          <w:sz w:val="24"/>
          <w:szCs w:val="24"/>
          <w:lang w:val="sv-SE"/>
        </w:rPr>
      </w:pPr>
      <w:r w:rsidRPr="00C54727">
        <w:rPr>
          <w:sz w:val="24"/>
          <w:szCs w:val="24"/>
          <w:lang w:val="sv-SE"/>
        </w:rPr>
        <w:t>Axelsson E. och</w:t>
      </w:r>
      <w:r w:rsidR="0040460C">
        <w:rPr>
          <w:sz w:val="24"/>
          <w:szCs w:val="24"/>
          <w:lang w:val="sv-SE"/>
        </w:rPr>
        <w:t xml:space="preserve"> </w:t>
      </w:r>
      <w:r w:rsidRPr="00C54727">
        <w:rPr>
          <w:sz w:val="24"/>
          <w:szCs w:val="24"/>
          <w:lang w:val="sv-SE"/>
        </w:rPr>
        <w:t>Grevendahl K.E(2020): Hållbarhet i det sydsvenska näringslivet Inställningen finns, men finns förutsättningarna? Sydsvenska Handelskammeret. Malmö.</w:t>
      </w:r>
    </w:p>
    <w:p w14:paraId="28E808E7" w14:textId="77777777" w:rsidR="00E462DB" w:rsidRPr="00C54727" w:rsidRDefault="00E462DB" w:rsidP="00E462DB">
      <w:pPr>
        <w:rPr>
          <w:sz w:val="24"/>
          <w:szCs w:val="24"/>
          <w:lang w:val="sv-SE"/>
        </w:rPr>
      </w:pPr>
      <w:r w:rsidRPr="00C54727">
        <w:rPr>
          <w:sz w:val="24"/>
          <w:szCs w:val="24"/>
          <w:lang w:val="sv-SE"/>
        </w:rPr>
        <w:t>Beyond Intent, Fossifritt Sverige, Företagarna (2019): Hållbarhet som konkurrensfördel. Småföretagen ställer om. Beyond Intent, Fossilfritt Sverige, Företagarna. Stockholm.</w:t>
      </w:r>
    </w:p>
    <w:p w14:paraId="17F82ADA" w14:textId="72DBA038" w:rsidR="00224A35" w:rsidRDefault="00224A35" w:rsidP="00224A35">
      <w:r>
        <w:t>Danmarks Nationalbank</w:t>
      </w:r>
      <w:r w:rsidRPr="00380F41">
        <w:t xml:space="preserve"> </w:t>
      </w:r>
      <w:r>
        <w:t>(2021) UDLÅNSUNDERSØGELSE, 3. KVARTAL 2021. Danmarks Nationalbank. København.</w:t>
      </w:r>
    </w:p>
    <w:p w14:paraId="50B792F8" w14:textId="4D3893E7" w:rsidR="00224A35" w:rsidRDefault="00224A35" w:rsidP="00224A35">
      <w:r>
        <w:t>Danmarks Nationalbank</w:t>
      </w:r>
      <w:r w:rsidRPr="00380F41">
        <w:t xml:space="preserve"> </w:t>
      </w:r>
      <w:r>
        <w:t>(2022)  Stigende inflation og russisk invasion har øget volatiliteten</w:t>
      </w:r>
      <w:r w:rsidRPr="00380F41">
        <w:t>.</w:t>
      </w:r>
      <w:r>
        <w:t xml:space="preserve"> Danmarks Nationalbank Analyse</w:t>
      </w:r>
      <w:r w:rsidRPr="00380F41">
        <w:t>.</w:t>
      </w:r>
      <w:r>
        <w:t>Monetære og finansielle tendenser</w:t>
      </w:r>
      <w:r w:rsidRPr="00380F41">
        <w:t>.</w:t>
      </w:r>
      <w:r>
        <w:t xml:space="preserve"> nr. 4, marts 2022.</w:t>
      </w:r>
      <w:r w:rsidRPr="00380F41">
        <w:t xml:space="preserve"> Danmarks Natio</w:t>
      </w:r>
      <w:r>
        <w:t>nalbank. København.</w:t>
      </w:r>
    </w:p>
    <w:p w14:paraId="1BED342A" w14:textId="63FDE574" w:rsidR="00224A35" w:rsidRPr="002548D2" w:rsidRDefault="00224A35" w:rsidP="00224A35">
      <w:pPr>
        <w:rPr>
          <w:lang w:val="en-US"/>
        </w:rPr>
      </w:pPr>
      <w:r>
        <w:t>Danmarks Nationalbank</w:t>
      </w:r>
      <w:r w:rsidRPr="00380F41">
        <w:t xml:space="preserve"> </w:t>
      </w:r>
      <w:r>
        <w:t xml:space="preserve">(2022) </w:t>
      </w:r>
      <w:r w:rsidRPr="00D87E7B">
        <w:t>Lempelige finansielle</w:t>
      </w:r>
      <w:r>
        <w:t xml:space="preserve"> </w:t>
      </w:r>
      <w:r w:rsidRPr="00D87E7B">
        <w:t>vilkår understøtter</w:t>
      </w:r>
      <w:r>
        <w:t xml:space="preserve"> </w:t>
      </w:r>
      <w:r w:rsidRPr="00D87E7B">
        <w:t>realøkonomien</w:t>
      </w:r>
      <w:r>
        <w:t>. Danmarks Nationalbank Analyse</w:t>
      </w:r>
      <w:r w:rsidRPr="00380F41">
        <w:t>.</w:t>
      </w:r>
      <w:r>
        <w:t>Monetære og finansielle tendenser</w:t>
      </w:r>
      <w:r w:rsidRPr="00380F41">
        <w:t>.</w:t>
      </w:r>
      <w:r>
        <w:t xml:space="preserve"> nr. 6, marts 2022.</w:t>
      </w:r>
      <w:r w:rsidRPr="00380F41">
        <w:t xml:space="preserve"> </w:t>
      </w:r>
      <w:r w:rsidRPr="002548D2">
        <w:rPr>
          <w:lang w:val="en-US"/>
        </w:rPr>
        <w:t>Danmarks Nationalbank. København</w:t>
      </w:r>
      <w:r w:rsidR="00D97564" w:rsidRPr="002548D2">
        <w:rPr>
          <w:lang w:val="en-US"/>
        </w:rPr>
        <w:t>.</w:t>
      </w:r>
    </w:p>
    <w:p w14:paraId="1010C6AA" w14:textId="6507C1E7" w:rsidR="00C54727" w:rsidRPr="00C54727" w:rsidRDefault="00C54727" w:rsidP="00C54727">
      <w:pPr>
        <w:autoSpaceDE w:val="0"/>
        <w:autoSpaceDN w:val="0"/>
        <w:adjustRightInd w:val="0"/>
        <w:spacing w:after="0" w:line="240" w:lineRule="auto"/>
        <w:rPr>
          <w:rFonts w:cs="Gotham-Ultra"/>
          <w:color w:val="E40613"/>
          <w:sz w:val="24"/>
          <w:szCs w:val="24"/>
          <w:lang w:val="en-US"/>
        </w:rPr>
      </w:pPr>
      <w:r w:rsidRPr="00224A35">
        <w:rPr>
          <w:rFonts w:cstheme="minorHAnsi"/>
          <w:iCs/>
          <w:color w:val="000000" w:themeColor="text1"/>
          <w:sz w:val="24"/>
          <w:szCs w:val="24"/>
          <w:lang w:val="en-GB"/>
        </w:rPr>
        <w:t xml:space="preserve">Ellen MacArthur Foundation (2015): Potential for Denmark as a circular economy. </w:t>
      </w:r>
      <w:r w:rsidRPr="00C54727">
        <w:rPr>
          <w:rFonts w:cstheme="minorHAnsi"/>
          <w:iCs/>
          <w:color w:val="000000" w:themeColor="text1"/>
          <w:sz w:val="24"/>
          <w:szCs w:val="24"/>
          <w:lang w:val="en-US"/>
        </w:rPr>
        <w:t>A case study from</w:t>
      </w:r>
      <w:r w:rsidR="00794C87">
        <w:rPr>
          <w:rFonts w:cstheme="minorHAnsi"/>
          <w:iCs/>
          <w:color w:val="000000" w:themeColor="text1"/>
          <w:sz w:val="24"/>
          <w:szCs w:val="24"/>
          <w:lang w:val="en-US"/>
        </w:rPr>
        <w:t xml:space="preserve"> </w:t>
      </w:r>
      <w:r w:rsidRPr="00C54727">
        <w:rPr>
          <w:rFonts w:cstheme="minorHAnsi"/>
          <w:iCs/>
          <w:color w:val="000000" w:themeColor="text1"/>
          <w:sz w:val="24"/>
          <w:szCs w:val="24"/>
          <w:lang w:val="en-US"/>
        </w:rPr>
        <w:t>delivering the circular economy. Ellen Macarthur Foundation. Cowes.</w:t>
      </w:r>
    </w:p>
    <w:p w14:paraId="6EA21A55" w14:textId="77777777" w:rsidR="00C54727" w:rsidRPr="00C54727" w:rsidRDefault="00C54727" w:rsidP="00C54727">
      <w:pPr>
        <w:rPr>
          <w:sz w:val="24"/>
          <w:szCs w:val="24"/>
          <w:lang w:val="en-GB"/>
        </w:rPr>
      </w:pPr>
    </w:p>
    <w:p w14:paraId="68AA489A" w14:textId="5BD92005" w:rsidR="00E462DB" w:rsidRPr="00C54727" w:rsidRDefault="00C54727" w:rsidP="00C54727">
      <w:pPr>
        <w:autoSpaceDE w:val="0"/>
        <w:autoSpaceDN w:val="0"/>
        <w:adjustRightInd w:val="0"/>
        <w:spacing w:after="0" w:line="240" w:lineRule="auto"/>
        <w:rPr>
          <w:rFonts w:cstheme="minorHAnsi"/>
          <w:sz w:val="24"/>
          <w:szCs w:val="24"/>
          <w:lang w:val="en-GB"/>
        </w:rPr>
      </w:pPr>
      <w:r w:rsidRPr="00C54727">
        <w:rPr>
          <w:sz w:val="24"/>
          <w:szCs w:val="24"/>
          <w:lang w:val="en-GB"/>
        </w:rPr>
        <w:t xml:space="preserve">Ellen Macarthur (2019): Completing the picture: How the circular Economy tackles climate change. </w:t>
      </w:r>
      <w:r w:rsidRPr="00C54727">
        <w:rPr>
          <w:rFonts w:eastAsia="Gotham-Book" w:cs="Gotham-Book"/>
          <w:sz w:val="24"/>
          <w:szCs w:val="24"/>
        </w:rPr>
        <w:t>www.ellenmacarthurfoundation.org/publications</w:t>
      </w:r>
    </w:p>
    <w:p w14:paraId="76D68A4A" w14:textId="0911C3AF" w:rsidR="00C54727" w:rsidRPr="00C54727" w:rsidRDefault="00C54727" w:rsidP="00E462DB">
      <w:pPr>
        <w:autoSpaceDE w:val="0"/>
        <w:autoSpaceDN w:val="0"/>
        <w:adjustRightInd w:val="0"/>
        <w:spacing w:after="0" w:line="240" w:lineRule="auto"/>
        <w:rPr>
          <w:rFonts w:cstheme="minorHAnsi"/>
          <w:sz w:val="24"/>
          <w:szCs w:val="24"/>
          <w:lang w:val="en-GB"/>
        </w:rPr>
      </w:pPr>
    </w:p>
    <w:p w14:paraId="145B7241" w14:textId="78D079ED" w:rsidR="00F92F84" w:rsidRPr="0032617D" w:rsidRDefault="00F92F84" w:rsidP="00F92F84">
      <w:pPr>
        <w:rPr>
          <w:lang w:val="en-GB"/>
        </w:rPr>
      </w:pPr>
      <w:r w:rsidRPr="0032617D">
        <w:rPr>
          <w:lang w:val="en-GB"/>
        </w:rPr>
        <w:t>European Commission (2022): EU Taxonomy Compass. Downloaded from</w:t>
      </w:r>
      <w:r w:rsidR="0040460C">
        <w:rPr>
          <w:lang w:val="en-GB"/>
        </w:rPr>
        <w:t xml:space="preserve"> </w:t>
      </w:r>
    </w:p>
    <w:p w14:paraId="133AD27A" w14:textId="77777777" w:rsidR="00F92F84" w:rsidRPr="00DE14A5" w:rsidRDefault="00F8335F" w:rsidP="00F92F84">
      <w:hyperlink r:id="rId14" w:history="1">
        <w:r w:rsidR="00F92F84" w:rsidRPr="0032617D">
          <w:rPr>
            <w:rStyle w:val="Hyperlink"/>
            <w:lang w:val="en-GB"/>
          </w:rPr>
          <w:t>https://ec.europa.eu/sustainable-finance-taxonomy/</w:t>
        </w:r>
      </w:hyperlink>
      <w:r w:rsidR="00F92F84" w:rsidRPr="0032617D">
        <w:rPr>
          <w:lang w:val="en-GB"/>
        </w:rPr>
        <w:t xml:space="preserve"> 20 08 2022. </w:t>
      </w:r>
      <w:r w:rsidR="00F92F84" w:rsidRPr="00DE14A5">
        <w:t>European Commission. Bruxells</w:t>
      </w:r>
    </w:p>
    <w:p w14:paraId="2600D9E0" w14:textId="77777777" w:rsidR="00086C48" w:rsidRDefault="00086C48" w:rsidP="00086C48">
      <w:r>
        <w:t xml:space="preserve">Finansdanmark (2020): </w:t>
      </w:r>
      <w:r w:rsidRPr="00483416">
        <w:t>CO2-model for</w:t>
      </w:r>
      <w:r>
        <w:t xml:space="preserve"> </w:t>
      </w:r>
      <w:r w:rsidRPr="00483416">
        <w:t>den finansielle sektor</w:t>
      </w:r>
      <w:r>
        <w:t xml:space="preserve">. </w:t>
      </w:r>
      <w:r w:rsidRPr="00483416">
        <w:t>Principper og metoder for måling og opgørelse</w:t>
      </w:r>
      <w:r>
        <w:t xml:space="preserve"> </w:t>
      </w:r>
      <w:r w:rsidRPr="00483416">
        <w:t>af finansierede emissioner fra udlån og investeringer</w:t>
      </w:r>
      <w:r>
        <w:t>. Finansdanmark. København.</w:t>
      </w:r>
    </w:p>
    <w:p w14:paraId="6B5138E7" w14:textId="77777777" w:rsidR="00086C48" w:rsidRDefault="00086C48" w:rsidP="00F84979">
      <w:pPr>
        <w:autoSpaceDE w:val="0"/>
        <w:autoSpaceDN w:val="0"/>
        <w:adjustRightInd w:val="0"/>
        <w:spacing w:after="0" w:line="240" w:lineRule="auto"/>
        <w:rPr>
          <w:rFonts w:cstheme="minorHAnsi"/>
        </w:rPr>
      </w:pPr>
    </w:p>
    <w:p w14:paraId="45937FBC" w14:textId="7C7A8EDF" w:rsidR="00F84979" w:rsidRPr="00DE14A5" w:rsidRDefault="00F84979" w:rsidP="00F84979">
      <w:pPr>
        <w:autoSpaceDE w:val="0"/>
        <w:autoSpaceDN w:val="0"/>
        <w:adjustRightInd w:val="0"/>
        <w:spacing w:after="0" w:line="240" w:lineRule="auto"/>
        <w:rPr>
          <w:rFonts w:cstheme="minorHAnsi"/>
          <w:lang w:val="sv-SE"/>
        </w:rPr>
      </w:pPr>
      <w:r w:rsidRPr="007D773C">
        <w:rPr>
          <w:rFonts w:cstheme="minorHAnsi"/>
        </w:rPr>
        <w:t>Gladsaxe Kommune (2020): GRØN GENSTART AF GLADSAXE</w:t>
      </w:r>
      <w:r>
        <w:rPr>
          <w:rFonts w:cstheme="minorHAnsi"/>
        </w:rPr>
        <w:t xml:space="preserve">. </w:t>
      </w:r>
      <w:r w:rsidRPr="007D773C">
        <w:rPr>
          <w:rFonts w:cstheme="minorHAnsi"/>
        </w:rPr>
        <w:t>Strategi for erhvervsindsatsen efter corona-krisen 2020</w:t>
      </w:r>
      <w:r>
        <w:rPr>
          <w:rFonts w:cstheme="minorHAnsi"/>
        </w:rPr>
        <w:t xml:space="preserve">. </w:t>
      </w:r>
      <w:r w:rsidRPr="00DE14A5">
        <w:rPr>
          <w:rFonts w:cstheme="minorHAnsi"/>
          <w:lang w:val="sv-SE"/>
        </w:rPr>
        <w:t>Gladsaxe kommune, Søborg.</w:t>
      </w:r>
    </w:p>
    <w:p w14:paraId="191DBBF9" w14:textId="77777777" w:rsidR="00F84979" w:rsidRPr="00DE14A5" w:rsidRDefault="00F84979" w:rsidP="00E462DB">
      <w:pPr>
        <w:autoSpaceDE w:val="0"/>
        <w:autoSpaceDN w:val="0"/>
        <w:adjustRightInd w:val="0"/>
        <w:spacing w:after="0" w:line="240" w:lineRule="auto"/>
        <w:rPr>
          <w:rFonts w:cstheme="minorHAnsi"/>
          <w:sz w:val="24"/>
          <w:szCs w:val="24"/>
          <w:lang w:val="sv-SE"/>
        </w:rPr>
      </w:pPr>
    </w:p>
    <w:p w14:paraId="67B02F1C" w14:textId="77777777" w:rsidR="00E462DB" w:rsidRPr="00794C87" w:rsidRDefault="00E462DB" w:rsidP="00E462DB">
      <w:pPr>
        <w:autoSpaceDE w:val="0"/>
        <w:autoSpaceDN w:val="0"/>
        <w:adjustRightInd w:val="0"/>
        <w:spacing w:after="0" w:line="240" w:lineRule="auto"/>
        <w:rPr>
          <w:rFonts w:cstheme="minorHAnsi"/>
        </w:rPr>
      </w:pPr>
      <w:r w:rsidRPr="00794C87">
        <w:rPr>
          <w:rFonts w:cstheme="minorHAnsi"/>
          <w:lang w:val="sv-SE"/>
        </w:rPr>
        <w:t xml:space="preserve">Hermelin B. och Rusten G. (2016) </w:t>
      </w:r>
      <w:r w:rsidRPr="00794C87">
        <w:rPr>
          <w:rFonts w:cstheme="minorHAnsi"/>
        </w:rPr>
        <w:t>Lokal samverkan, tillväxt</w:t>
      </w:r>
      <w:r w:rsidRPr="00794C87">
        <w:rPr>
          <w:rFonts w:cstheme="minorHAnsi"/>
          <w:lang w:val="sv-SE"/>
        </w:rPr>
        <w:t xml:space="preserve"> </w:t>
      </w:r>
      <w:r w:rsidRPr="00794C87">
        <w:rPr>
          <w:rFonts w:cstheme="minorHAnsi"/>
        </w:rPr>
        <w:t>och omställning</w:t>
      </w:r>
    </w:p>
    <w:p w14:paraId="6D0C25FA" w14:textId="77777777" w:rsidR="00E462DB" w:rsidRPr="00794C87" w:rsidRDefault="00E462DB" w:rsidP="00E462DB">
      <w:pPr>
        <w:autoSpaceDE w:val="0"/>
        <w:autoSpaceDN w:val="0"/>
        <w:adjustRightInd w:val="0"/>
        <w:spacing w:after="0" w:line="240" w:lineRule="auto"/>
        <w:rPr>
          <w:rFonts w:cstheme="minorHAnsi"/>
          <w:lang w:val="sv-SE"/>
        </w:rPr>
      </w:pPr>
      <w:r w:rsidRPr="00794C87">
        <w:rPr>
          <w:rFonts w:cstheme="minorHAnsi"/>
        </w:rPr>
        <w:t>- Studier från industriregioner</w:t>
      </w:r>
      <w:r w:rsidRPr="00794C87">
        <w:rPr>
          <w:rFonts w:cstheme="minorHAnsi"/>
          <w:lang w:val="sv-SE"/>
        </w:rPr>
        <w:t xml:space="preserve"> </w:t>
      </w:r>
      <w:r w:rsidRPr="00794C87">
        <w:rPr>
          <w:rFonts w:cstheme="minorHAnsi"/>
        </w:rPr>
        <w:t>i Sverige och Norge</w:t>
      </w:r>
      <w:r w:rsidRPr="00794C87">
        <w:rPr>
          <w:rFonts w:cstheme="minorHAnsi"/>
          <w:lang w:val="sv-SE"/>
        </w:rPr>
        <w:t>. Linköpings universitet. Centrum för kommunstrategiska studier. Norrköping.</w:t>
      </w:r>
    </w:p>
    <w:p w14:paraId="7E90C5AC" w14:textId="00386460" w:rsidR="00794C87" w:rsidRDefault="00794C87" w:rsidP="00571029">
      <w:pPr>
        <w:rPr>
          <w:lang w:val="sv-SE"/>
        </w:rPr>
      </w:pPr>
    </w:p>
    <w:p w14:paraId="6472234E" w14:textId="77777777" w:rsidR="00697B3E" w:rsidRDefault="00697B3E" w:rsidP="00697B3E">
      <w:pPr>
        <w:rPr>
          <w:lang w:val="sv-SE"/>
        </w:rPr>
      </w:pPr>
      <w:r w:rsidRPr="00CF6175">
        <w:rPr>
          <w:lang w:val="nb-NO"/>
        </w:rPr>
        <w:t xml:space="preserve">Riksbanken (2022): Penningpolitisk rapport. Riksbanken. </w:t>
      </w:r>
      <w:r w:rsidRPr="00CF6175">
        <w:rPr>
          <w:lang w:val="sv-SE"/>
        </w:rPr>
        <w:t>Stockhol</w:t>
      </w:r>
      <w:r>
        <w:rPr>
          <w:lang w:val="sv-SE"/>
        </w:rPr>
        <w:t>m.</w:t>
      </w:r>
    </w:p>
    <w:p w14:paraId="520550F0" w14:textId="0D91B923" w:rsidR="00F84979" w:rsidRDefault="00F84979" w:rsidP="00571029">
      <w:pPr>
        <w:rPr>
          <w:lang w:val="sv-SE"/>
        </w:rPr>
      </w:pPr>
      <w:r w:rsidRPr="00794C87">
        <w:rPr>
          <w:lang w:val="sv-SE"/>
        </w:rPr>
        <w:t>RSK (2022):</w:t>
      </w:r>
      <w:r w:rsidR="00571029" w:rsidRPr="00794C87">
        <w:rPr>
          <w:lang w:val="sv-SE"/>
        </w:rPr>
        <w:t xml:space="preserve"> Bæredygtighed - Virksomhedspanelet i Ringkøbing-Skjern Kommune.</w:t>
      </w:r>
      <w:r w:rsidRPr="00794C87">
        <w:rPr>
          <w:lang w:val="sv-SE"/>
        </w:rPr>
        <w:t xml:space="preserve"> Survey Ringkøbing Skjern</w:t>
      </w:r>
      <w:r w:rsidR="00571029" w:rsidRPr="00794C87">
        <w:rPr>
          <w:lang w:val="sv-SE"/>
        </w:rPr>
        <w:t xml:space="preserve"> erhvervsråd</w:t>
      </w:r>
      <w:r w:rsidRPr="00794C87">
        <w:rPr>
          <w:lang w:val="sv-SE"/>
        </w:rPr>
        <w:t>.</w:t>
      </w:r>
      <w:r w:rsidR="00571029" w:rsidRPr="00794C87">
        <w:rPr>
          <w:lang w:val="sv-SE"/>
        </w:rPr>
        <w:t xml:space="preserve"> Skjern.</w:t>
      </w:r>
    </w:p>
    <w:p w14:paraId="2A78211F" w14:textId="5C5FF880" w:rsidR="0086386E" w:rsidRPr="00794C87" w:rsidRDefault="0086386E" w:rsidP="00571029">
      <w:pPr>
        <w:rPr>
          <w:lang w:val="sv-SE"/>
        </w:rPr>
      </w:pPr>
      <w:r w:rsidRPr="0086386E">
        <w:rPr>
          <w:lang w:val="sv-SE"/>
        </w:rPr>
        <w:t>SCB (2022) Investeringsenkäten, första kvartalet 2022. Statistiska Central Bureau (SCB). Stockholm</w:t>
      </w:r>
    </w:p>
    <w:p w14:paraId="630EEAEB" w14:textId="7F2DA7E7" w:rsidR="00794C87" w:rsidRPr="00794C87" w:rsidRDefault="00794C87" w:rsidP="00571029">
      <w:pPr>
        <w:rPr>
          <w:lang w:val="en-GB"/>
        </w:rPr>
      </w:pPr>
      <w:r w:rsidRPr="00794C87">
        <w:rPr>
          <w:lang w:val="en-GB"/>
        </w:rPr>
        <w:t>Schütze F. &amp; Stede J</w:t>
      </w:r>
      <w:r>
        <w:rPr>
          <w:lang w:val="en-GB"/>
        </w:rPr>
        <w:t>.</w:t>
      </w:r>
      <w:r w:rsidRPr="00794C87">
        <w:rPr>
          <w:lang w:val="en-GB"/>
        </w:rPr>
        <w:t xml:space="preserve">  (2021): The EU sustainable finance taxonomy and its contribution to climate neutrality, Journal of Sustainable Finance &amp; Investment, DOI:10.1080/20430795.2021.2006129. p1-33.</w:t>
      </w:r>
    </w:p>
    <w:p w14:paraId="290F9523" w14:textId="158F4DB2" w:rsidR="00E462DB" w:rsidRPr="00794C87" w:rsidRDefault="00E462DB" w:rsidP="00E462DB">
      <w:pPr>
        <w:rPr>
          <w:lang w:val="sv-SE"/>
        </w:rPr>
      </w:pPr>
      <w:r w:rsidRPr="00794C87">
        <w:rPr>
          <w:lang w:val="sv-SE"/>
        </w:rPr>
        <w:t>Tillväxtverket (2020): Företagens villkor och verklighet 2020 – huvudrapport. Tillväxtverket. Stockholm</w:t>
      </w:r>
      <w:r w:rsidR="00794C87" w:rsidRPr="00794C87">
        <w:rPr>
          <w:lang w:val="sv-SE"/>
        </w:rPr>
        <w:t>.</w:t>
      </w:r>
    </w:p>
    <w:p w14:paraId="7C39148A" w14:textId="77777777" w:rsidR="00794C87" w:rsidRPr="00794C87" w:rsidRDefault="00E462DB" w:rsidP="00E462DB">
      <w:pPr>
        <w:autoSpaceDE w:val="0"/>
        <w:autoSpaceDN w:val="0"/>
        <w:adjustRightInd w:val="0"/>
        <w:spacing w:after="0" w:line="240" w:lineRule="auto"/>
        <w:rPr>
          <w:rFonts w:cs="CIDFont+F2"/>
          <w:lang w:val="sv-SE"/>
        </w:rPr>
      </w:pPr>
      <w:r w:rsidRPr="00794C87">
        <w:rPr>
          <w:rFonts w:cs="CIDFont+F2"/>
          <w:lang w:val="sv-SE"/>
        </w:rPr>
        <w:t>VGR Analys (2021) Bilaga 5 Programmet för Cirkulärt mode och hållbara miljöer 2017-2020.</w:t>
      </w:r>
      <w:r w:rsidR="0040460C" w:rsidRPr="00794C87">
        <w:rPr>
          <w:rFonts w:cs="CIDFont+F2"/>
          <w:lang w:val="sv-SE"/>
        </w:rPr>
        <w:t xml:space="preserve"> </w:t>
      </w:r>
    </w:p>
    <w:p w14:paraId="08487C5C" w14:textId="42CA4276" w:rsidR="00E462DB" w:rsidRPr="00794C87" w:rsidRDefault="00E462DB" w:rsidP="00E462DB">
      <w:pPr>
        <w:autoSpaceDE w:val="0"/>
        <w:autoSpaceDN w:val="0"/>
        <w:adjustRightInd w:val="0"/>
        <w:spacing w:after="0" w:line="240" w:lineRule="auto"/>
        <w:rPr>
          <w:rFonts w:cs="CIDFont+F2"/>
          <w:lang w:val="sv-SE"/>
        </w:rPr>
      </w:pPr>
      <w:r w:rsidRPr="00794C87">
        <w:rPr>
          <w:rFonts w:cs="CIDFont+F2"/>
          <w:lang w:val="sv-SE"/>
        </w:rPr>
        <w:t>VGR Analys 2021:11</w:t>
      </w:r>
      <w:r w:rsidR="00794C87" w:rsidRPr="00794C87">
        <w:rPr>
          <w:rFonts w:cs="CIDFont+F2"/>
          <w:lang w:val="sv-SE"/>
        </w:rPr>
        <w:t xml:space="preserve"> </w:t>
      </w:r>
      <w:r w:rsidRPr="00794C87">
        <w:rPr>
          <w:rFonts w:cs="CIDFont+F2"/>
          <w:lang w:val="sv-SE"/>
        </w:rPr>
        <w:t>Koncernkontoret. Västra Götalandsregionen (VGR) Göteborg</w:t>
      </w:r>
      <w:r w:rsidR="00794C87" w:rsidRPr="00794C87">
        <w:rPr>
          <w:rFonts w:cs="CIDFont+F2"/>
          <w:lang w:val="sv-SE"/>
        </w:rPr>
        <w:t>.</w:t>
      </w:r>
    </w:p>
    <w:p w14:paraId="5FD77D48" w14:textId="77777777" w:rsidR="00E462DB" w:rsidRPr="00794C87" w:rsidRDefault="00E462DB" w:rsidP="00E462DB">
      <w:pPr>
        <w:autoSpaceDE w:val="0"/>
        <w:autoSpaceDN w:val="0"/>
        <w:adjustRightInd w:val="0"/>
        <w:spacing w:after="0" w:line="240" w:lineRule="auto"/>
        <w:rPr>
          <w:rFonts w:cs="CIDFont+F2"/>
          <w:lang w:val="sv-SE"/>
        </w:rPr>
      </w:pPr>
    </w:p>
    <w:p w14:paraId="1318BA69" w14:textId="3E1B998E" w:rsidR="00E462DB" w:rsidRPr="00794C87" w:rsidRDefault="00E462DB" w:rsidP="00E462DB">
      <w:pPr>
        <w:autoSpaceDE w:val="0"/>
        <w:autoSpaceDN w:val="0"/>
        <w:adjustRightInd w:val="0"/>
        <w:spacing w:after="0" w:line="240" w:lineRule="auto"/>
        <w:rPr>
          <w:rFonts w:cstheme="minorHAnsi"/>
          <w:lang w:val="sv-SE"/>
        </w:rPr>
      </w:pPr>
      <w:r w:rsidRPr="00794C87">
        <w:rPr>
          <w:rFonts w:cstheme="minorHAnsi"/>
          <w:lang w:val="sv-SE"/>
        </w:rPr>
        <w:t xml:space="preserve">VGR Analys </w:t>
      </w:r>
      <w:r w:rsidR="00D44DB4" w:rsidRPr="00794C87">
        <w:rPr>
          <w:rFonts w:cstheme="minorHAnsi"/>
          <w:lang w:val="sv-SE"/>
        </w:rPr>
        <w:t>(</w:t>
      </w:r>
      <w:r w:rsidRPr="00794C87">
        <w:rPr>
          <w:rFonts w:cstheme="minorHAnsi"/>
          <w:lang w:val="sv-SE"/>
        </w:rPr>
        <w:t>2021) Bilaga 8. Programmet för små- och medelstora företag 2016-2020. VGR Analys 2021:11</w:t>
      </w:r>
      <w:r w:rsidR="00002ADC" w:rsidRPr="00794C87">
        <w:rPr>
          <w:rFonts w:cstheme="minorHAnsi"/>
          <w:lang w:val="sv-SE"/>
        </w:rPr>
        <w:t xml:space="preserve"> </w:t>
      </w:r>
      <w:r w:rsidRPr="00794C87">
        <w:rPr>
          <w:rFonts w:cstheme="minorHAnsi"/>
          <w:lang w:val="sv-SE"/>
        </w:rPr>
        <w:t>Koncernkontoret. Västra Götalandsregionen (VGR) Göteborg.</w:t>
      </w:r>
    </w:p>
    <w:p w14:paraId="7E49885A" w14:textId="6735D24C" w:rsidR="00002ADC" w:rsidRPr="00DE14A5" w:rsidRDefault="00002ADC" w:rsidP="00E462DB">
      <w:pPr>
        <w:autoSpaceDE w:val="0"/>
        <w:autoSpaceDN w:val="0"/>
        <w:adjustRightInd w:val="0"/>
        <w:spacing w:after="0" w:line="240" w:lineRule="auto"/>
        <w:rPr>
          <w:rFonts w:cstheme="minorHAnsi"/>
          <w:sz w:val="24"/>
          <w:szCs w:val="24"/>
          <w:lang w:val="sv-SE"/>
        </w:rPr>
      </w:pPr>
    </w:p>
    <w:p w14:paraId="16D1990F" w14:textId="789BDADB" w:rsidR="00002ADC" w:rsidRPr="00DE14A5" w:rsidRDefault="00002ADC" w:rsidP="00E462DB">
      <w:pPr>
        <w:autoSpaceDE w:val="0"/>
        <w:autoSpaceDN w:val="0"/>
        <w:adjustRightInd w:val="0"/>
        <w:spacing w:after="0" w:line="240" w:lineRule="auto"/>
        <w:rPr>
          <w:rFonts w:cstheme="minorHAnsi"/>
          <w:sz w:val="24"/>
          <w:szCs w:val="24"/>
          <w:lang w:val="en-GB"/>
        </w:rPr>
      </w:pPr>
      <w:r w:rsidRPr="00DE14A5">
        <w:rPr>
          <w:lang w:val="sv-SE"/>
        </w:rPr>
        <w:t xml:space="preserve">WRI and WBCSD (2004) The Greenhouse Gas Protocol. </w:t>
      </w:r>
      <w:r w:rsidRPr="00DE14A5">
        <w:rPr>
          <w:lang w:val="en-GB"/>
        </w:rPr>
        <w:t>A Corporate Accounting and Reporting Standard. Revised Edition. World Resources Institute (WCI), Geneva and World Business Council for Sustainable Development (WBCSD), Washington</w:t>
      </w:r>
    </w:p>
    <w:p w14:paraId="273FE2C5" w14:textId="77777777" w:rsidR="00F94D3F" w:rsidRPr="00DE14A5" w:rsidRDefault="00F94D3F" w:rsidP="00F817C3">
      <w:pPr>
        <w:spacing w:after="0" w:line="240" w:lineRule="auto"/>
        <w:rPr>
          <w:lang w:val="en-GB"/>
        </w:rPr>
      </w:pPr>
    </w:p>
    <w:p w14:paraId="6A84C4B2" w14:textId="492E0E7E" w:rsidR="00697B3E" w:rsidRDefault="00697B3E">
      <w:pPr>
        <w:spacing w:after="0" w:line="240" w:lineRule="auto"/>
        <w:rPr>
          <w:rFonts w:eastAsia="Times New Roman"/>
          <w:color w:val="000000"/>
          <w:sz w:val="24"/>
          <w:szCs w:val="26"/>
          <w:lang w:val="en-GB"/>
        </w:rPr>
      </w:pPr>
    </w:p>
    <w:p w14:paraId="58049076" w14:textId="06EEE027" w:rsidR="00D97564" w:rsidRDefault="00D97564">
      <w:pPr>
        <w:spacing w:after="0" w:line="240" w:lineRule="auto"/>
        <w:rPr>
          <w:rFonts w:eastAsia="Times New Roman"/>
          <w:color w:val="000000"/>
          <w:sz w:val="24"/>
          <w:szCs w:val="26"/>
          <w:lang w:val="en-GB"/>
        </w:rPr>
      </w:pPr>
      <w:r>
        <w:rPr>
          <w:rFonts w:eastAsia="Times New Roman"/>
          <w:color w:val="000000"/>
          <w:sz w:val="24"/>
          <w:szCs w:val="26"/>
          <w:lang w:val="en-GB"/>
        </w:rPr>
        <w:br w:type="page"/>
      </w:r>
    </w:p>
    <w:p w14:paraId="2639C7DB" w14:textId="63029562" w:rsidR="00761C79" w:rsidRPr="008A00D4" w:rsidRDefault="00A11D24" w:rsidP="00A11D24">
      <w:pPr>
        <w:pStyle w:val="Overskrift1"/>
        <w:rPr>
          <w:b/>
          <w:bCs/>
          <w:sz w:val="36"/>
          <w:szCs w:val="40"/>
        </w:rPr>
      </w:pPr>
      <w:bookmarkStart w:id="26" w:name="_Toc112184362"/>
      <w:r w:rsidRPr="008A00D4">
        <w:rPr>
          <w:b/>
          <w:bCs/>
          <w:sz w:val="36"/>
          <w:szCs w:val="40"/>
        </w:rPr>
        <w:t>Bilag:</w:t>
      </w:r>
      <w:bookmarkEnd w:id="26"/>
      <w:r w:rsidRPr="008A00D4">
        <w:rPr>
          <w:b/>
          <w:bCs/>
          <w:sz w:val="36"/>
          <w:szCs w:val="40"/>
        </w:rPr>
        <w:t xml:space="preserve"> </w:t>
      </w:r>
    </w:p>
    <w:p w14:paraId="3580E48B" w14:textId="3ABBBAD1" w:rsidR="00D64474" w:rsidRDefault="00761C79" w:rsidP="00A11D24">
      <w:pPr>
        <w:pStyle w:val="Overskrift1"/>
        <w:rPr>
          <w:b/>
          <w:bCs/>
        </w:rPr>
      </w:pPr>
      <w:bookmarkStart w:id="27" w:name="_Toc112184363"/>
      <w:r w:rsidRPr="00761C79">
        <w:rPr>
          <w:b/>
          <w:bCs/>
        </w:rPr>
        <w:t>1.</w:t>
      </w:r>
      <w:r w:rsidR="00D64474" w:rsidRPr="00761C79">
        <w:rPr>
          <w:b/>
          <w:bCs/>
        </w:rPr>
        <w:t>Baggrund - regulativ udvikling</w:t>
      </w:r>
      <w:bookmarkEnd w:id="27"/>
      <w:r w:rsidR="00D64474" w:rsidRPr="00761C79">
        <w:rPr>
          <w:b/>
          <w:bCs/>
        </w:rPr>
        <w:t xml:space="preserve"> </w:t>
      </w:r>
    </w:p>
    <w:p w14:paraId="2179263A" w14:textId="33D78BEB" w:rsidR="00635396" w:rsidRDefault="00635396" w:rsidP="00A51750"/>
    <w:p w14:paraId="7D80E2D0" w14:textId="7E513592" w:rsidR="009B3FFB" w:rsidRDefault="00635396" w:rsidP="00A51750">
      <w:r>
        <w:t>Hvor bæredygtighedsdagsordenen generelt er ved at være veletableret her mere end 30 år efter Brundtla</w:t>
      </w:r>
      <w:r w:rsidR="00DB0643">
        <w:t>nd</w:t>
      </w:r>
      <w:r>
        <w:t>-rapporten kom med den første definition er bæredygtighed, så er det er af nyere dato,</w:t>
      </w:r>
      <w:r w:rsidR="0040460C">
        <w:t xml:space="preserve"> </w:t>
      </w:r>
      <w:r>
        <w:t>at</w:t>
      </w:r>
      <w:r w:rsidR="003E6C6B">
        <w:t xml:space="preserve"> </w:t>
      </w:r>
      <w:r w:rsidR="00210680">
        <w:t>der arbejdes struktureret med det i den finansielle sektor. I 2011 udgav den nystiftede tænketank CarbonTracker en rapport om en mulig boble i værdisætningen af udvinding af fossile brændstoffer. Dette var første gang koblede klimaregulering og fremadrettede investeringer i fossile brændsler, og påviste, at en løsning af klimaproblemerne kunne udgøre en risiko for investorer i fossile selskaber, som tilsyneladende ikke var korrekt prissat af finansmarkederne.</w:t>
      </w:r>
      <w:r w:rsidR="0040460C">
        <w:t xml:space="preserve"> </w:t>
      </w:r>
      <w:r w:rsidR="00B37DAA">
        <w:t>Denne rapoprt gav anledning til megen faglig og politisk debat.</w:t>
      </w:r>
    </w:p>
    <w:p w14:paraId="5EFD6E72" w14:textId="1B8FD2C8" w:rsidR="009B3FFB" w:rsidRPr="009B3FFB" w:rsidRDefault="009B3FFB" w:rsidP="00A51750">
      <w:r w:rsidRPr="00A51750">
        <w:t xml:space="preserve">Formålsartiklen fra </w:t>
      </w:r>
      <w:r w:rsidRPr="009B3FFB">
        <w:t>Parisaftalen fra 2015</w:t>
      </w:r>
      <w:r w:rsidRPr="00A51750">
        <w:t xml:space="preserve"> er mest kendt </w:t>
      </w:r>
      <w:r>
        <w:t>for sine to første mål om at begrænse gennemsnit global opvarmning til 1,5 grader,</w:t>
      </w:r>
      <w:r w:rsidR="0040460C">
        <w:t xml:space="preserve"> </w:t>
      </w:r>
      <w:r>
        <w:t>og at øge evnen til klimapasning, men den rummer også denne formulering som sit tredje og sidste mål:</w:t>
      </w:r>
    </w:p>
    <w:p w14:paraId="590F7AAF" w14:textId="3E062577" w:rsidR="009B3FFB" w:rsidRPr="00A51750" w:rsidRDefault="009B3FFB" w:rsidP="00A51750">
      <w:pPr>
        <w:rPr>
          <w:i/>
          <w:lang w:val="en-US"/>
        </w:rPr>
      </w:pPr>
      <w:r w:rsidRPr="00A51750">
        <w:rPr>
          <w:i/>
          <w:lang w:val="en-US"/>
        </w:rPr>
        <w:t>“Making finance flows consistent with a pathway towards low greenhouse gas emissions and climate-resilient development.”</w:t>
      </w:r>
    </w:p>
    <w:p w14:paraId="638F6217" w14:textId="6B3B69BB" w:rsidR="009B3FFB" w:rsidRPr="002548D2" w:rsidRDefault="009B3FFB" w:rsidP="00A51750">
      <w:r w:rsidRPr="002548D2">
        <w:t>Det ligger således i Parisaftalens formål, at pengestrømme bør bringes i overensstemmelse med en sti frem mod lave klimagasudledninger og en klimaresilient udvikling.</w:t>
      </w:r>
    </w:p>
    <w:p w14:paraId="529F20D6" w14:textId="52D76194" w:rsidR="009B3FFB" w:rsidRDefault="009B3FFB" w:rsidP="00A51750">
      <w:r>
        <w:t xml:space="preserve">I 2017 fulgte Europakommisssionen op og introducerede et lovgivningsprogram for </w:t>
      </w:r>
      <w:r w:rsidR="00B37DAA">
        <w:t>bæredygtig finans. (”sustainable finance”).</w:t>
      </w:r>
      <w:r w:rsidR="003E6C6B">
        <w:t xml:space="preserve"> </w:t>
      </w:r>
      <w:r w:rsidR="00B37DAA">
        <w:t>Pakken rumme</w:t>
      </w:r>
      <w:r w:rsidR="007B1A37">
        <w:t>de</w:t>
      </w:r>
      <w:r w:rsidR="00B37DAA">
        <w:t xml:space="preserve"> en række initiativer såsom en pligt til inddrage bæredygtighedsaspekter i den pligt formueforvaltere har over dem, hvis penge de forvalter (den såkaldte ”fiduciary duty”), udviklingen af en europæisk s</w:t>
      </w:r>
      <w:r w:rsidR="007B1A37">
        <w:t>tandard for grønne obligationer, standarder for hvornår investeringsprodukter må kaldes grønne, afrapporteringskrav i forbindelse med bæredygtighed mv., alt sammen med det politiske formål at understøtte et ønske om at mere kapital investeres i grønne økonomiske aktiviteter.</w:t>
      </w:r>
    </w:p>
    <w:p w14:paraId="04793FCF" w14:textId="1685E126" w:rsidR="007B1A37" w:rsidRDefault="007B1A37" w:rsidP="00DE14A5">
      <w:r>
        <w:t>Lovpakken er bygget således op, at det i en lov</w:t>
      </w:r>
      <w:r w:rsidR="00050EB9">
        <w:rPr>
          <w:rStyle w:val="Fodnotehenvisning"/>
        </w:rPr>
        <w:footnoteReference w:id="2"/>
      </w:r>
      <w:r>
        <w:t xml:space="preserve"> defineres, hvilke økonomiske aktiv</w:t>
      </w:r>
      <w:r w:rsidR="00DB0643">
        <w:t>i</w:t>
      </w:r>
      <w:r>
        <w:t>teter, der må kategoriseres som grønne og hvilke, der ikke må.</w:t>
      </w:r>
      <w:r w:rsidR="003E6C6B">
        <w:t xml:space="preserve"> </w:t>
      </w:r>
      <w:r>
        <w:t>De andre love i lovpakken refererer derefter i denne lov</w:t>
      </w:r>
      <w:r w:rsidR="00050EB9">
        <w:t>. Denne lov, som kaldes ’taksonomien’, fordi den foretager en kategorisering af grønne loven aktiviteter. Selve taksonomi-lovgivningen rummer ikke nogen tilskyndelse til at overholde definitionen, der er givet i loven. Den tilskyndelse - og dermed betydning for virksomheder - ligger i de andre love i pakken som refererer til den kategorisering, der ligger</w:t>
      </w:r>
      <w:r w:rsidR="00B2221C">
        <w:t xml:space="preserve"> i taksonomiloven.</w:t>
      </w:r>
    </w:p>
    <w:p w14:paraId="49505B34" w14:textId="322C908A" w:rsidR="006A265C" w:rsidRDefault="00B2221C" w:rsidP="00DE14A5">
      <w:r>
        <w:t>Der er seks kategorier</w:t>
      </w:r>
      <w:r w:rsidR="006A265C">
        <w:t xml:space="preserve"> af bæredygtighed i taksonomien. Kategorien klimamitigation refererer eksplicit til Parisaftalens formål, der kan opnås ved ved at øge andelen af vedvarende energi i forhold til total energi. En anden kategori er cirkulær økonomi, hvor der er en detaljeret liste over måder hvorpå forretningsmodeller kan bidrage til cirkulær økonomi.</w:t>
      </w:r>
    </w:p>
    <w:p w14:paraId="72B1CCE1" w14:textId="77777777" w:rsidR="006A265C" w:rsidRDefault="006A265C" w:rsidP="00DE14A5"/>
    <w:p w14:paraId="3606F917" w14:textId="4F4EC039" w:rsidR="00050EB9" w:rsidRDefault="00050EB9" w:rsidP="00DE14A5"/>
    <w:p w14:paraId="2535247F" w14:textId="7C379FED" w:rsidR="00141C1E" w:rsidRDefault="00B2221C" w:rsidP="00DE14A5">
      <w:r>
        <w:t>I en nylig artikel</w:t>
      </w:r>
      <w:r w:rsidR="006A265C">
        <w:rPr>
          <w:rStyle w:val="Fodnotehenvisning"/>
        </w:rPr>
        <w:footnoteReference w:id="3"/>
      </w:r>
      <w:r w:rsidR="00141C1E">
        <w:t xml:space="preserve"> er følgende figur vist, hvordan taksnomien kan antages at bidrage til det politiske mål om større andel af vedvarende energi i forhold til total energi (”Green House Gas (GHG) intensity of the economy). </w:t>
      </w:r>
    </w:p>
    <w:p w14:paraId="06BAA2A9" w14:textId="0D55FF09" w:rsidR="006A265C" w:rsidRDefault="006A265C" w:rsidP="00DE14A5">
      <w:r>
        <w:rPr>
          <w:noProof/>
          <w:lang w:eastAsia="da-DK"/>
        </w:rPr>
        <w:drawing>
          <wp:inline distT="0" distB="0" distL="0" distR="0" wp14:anchorId="714FBF1B" wp14:editId="004FB817">
            <wp:extent cx="6115050" cy="252412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524125"/>
                    </a:xfrm>
                    <a:prstGeom prst="rect">
                      <a:avLst/>
                    </a:prstGeom>
                    <a:noFill/>
                    <a:ln>
                      <a:noFill/>
                    </a:ln>
                  </pic:spPr>
                </pic:pic>
              </a:graphicData>
            </a:graphic>
          </wp:inline>
        </w:drawing>
      </w:r>
    </w:p>
    <w:p w14:paraId="6BB22952" w14:textId="46834409" w:rsidR="00A16568" w:rsidRDefault="00141C1E" w:rsidP="00DE14A5">
      <w:r>
        <w:t>SFDR (Sustainable Finance Disclosure Regulation) og NFRD (Non-Financial Reporting Directive)</w:t>
      </w:r>
      <w:r w:rsidR="00FA38BC">
        <w:rPr>
          <w:rStyle w:val="Fodnotehenvisning"/>
        </w:rPr>
        <w:footnoteReference w:id="4"/>
      </w:r>
      <w:r>
        <w:t xml:space="preserve"> refererer til lovgivning om regnskabsaflæggelse for hhv. finansielle og ikke-finansielle virksomheder.</w:t>
      </w:r>
      <w:r w:rsidR="0040460C">
        <w:t xml:space="preserve"> </w:t>
      </w:r>
      <w:r w:rsidR="00A16568">
        <w:t>I Danmark ventes der at komme lovkrav om at overholde loven for de største virksomheder i regnskabsklasse C, som også omfatter de lidt større SMV’ere.</w:t>
      </w:r>
    </w:p>
    <w:p w14:paraId="14550AFB" w14:textId="7638844F" w:rsidR="00F91853" w:rsidRDefault="00A16568" w:rsidP="00DE14A5">
      <w:r>
        <w:t>Når det på denne måde bliver lovkrav</w:t>
      </w:r>
      <w:r w:rsidR="00F91853">
        <w:t xml:space="preserve"> for virksomhederne</w:t>
      </w:r>
      <w:r>
        <w:t xml:space="preserve"> at aflægge regnskaber</w:t>
      </w:r>
      <w:r w:rsidR="00F91853">
        <w:t xml:space="preserve"> (”external reporting by companies), der bruger taksonomien til at angive, hvor stor en del af omsætningen, omkostningerne og de fremadrettede investeringer, der er grønne efter taksonomiens kategorisering, angiver artiklen tre grunde til at der kommer yderligere fokus på at rette ind efter taksonomiens bæredygtighedskriterier - to eksterne og en intern.</w:t>
      </w:r>
      <w:r w:rsidR="00F323A6">
        <w:t xml:space="preserve"> De to eksterne </w:t>
      </w:r>
      <w:r w:rsidR="00BF6A38">
        <w:t>følger også af love i kommissionens lovpakke.</w:t>
      </w:r>
    </w:p>
    <w:p w14:paraId="6268A55E" w14:textId="2C750E55" w:rsidR="00A16568" w:rsidRDefault="00F91853" w:rsidP="00DE14A5">
      <w:r>
        <w:t>Den ene er en omdømmeeff</w:t>
      </w:r>
      <w:r w:rsidR="00F323A6">
        <w:t>ekt i forhold til driften - at når virksomheden kan vise at den er grøn, så kan det være at kunderne har en øget betalingsvilje, hvilket kan forbedre den økonomiske driftresultater.</w:t>
      </w:r>
    </w:p>
    <w:p w14:paraId="6324E8E6" w14:textId="13731ADE" w:rsidR="00F323A6" w:rsidRDefault="00F323A6" w:rsidP="00DE14A5">
      <w:r>
        <w:t>Den anden er i forhold til kapitalomkostningerne. Når virksomhederne kan vise at de overholder taksonomiens kategorisering så får de adgang til grøn finansiering, som må antages at være mere attraktiv og i visse tilfælde billigere.</w:t>
      </w:r>
    </w:p>
    <w:p w14:paraId="60B667BA" w14:textId="5FD3FFD3" w:rsidR="00141C1E" w:rsidRDefault="00BF6A38" w:rsidP="00DE14A5">
      <w:r>
        <w:t>--</w:t>
      </w:r>
    </w:p>
    <w:p w14:paraId="3AC56508" w14:textId="75FF8168" w:rsidR="00D64474" w:rsidRPr="009463C1" w:rsidRDefault="00BF6A38" w:rsidP="00D64474">
      <w:r>
        <w:t xml:space="preserve">Den sidste </w:t>
      </w:r>
      <w:r w:rsidR="00B46146">
        <w:t xml:space="preserve">handler om, at arbejdet med at lave et eksternt regnskab i forhold til taksonomien også fører til at virksomheden inklusive dens ledelse får øget viden om status på andelens andel af </w:t>
      </w:r>
      <w:r w:rsidR="0092566C">
        <w:t>grønne økonomiske aktiviteter, og dermed får øje på det og dermed med større sandsynlighed vil se behov for at have en strategiproces med henblik på at udvikle en grøn forretningsmodel</w:t>
      </w:r>
      <w:r w:rsidR="0040460C">
        <w:t xml:space="preserve"> </w:t>
      </w:r>
      <w:r w:rsidR="0092566C">
        <w:t>herunder at sætte mål for fx større andel af vedvarende energi i forhold til total energi eller en øget grad af cirkulær økonomi fx med større brug af genbrugte råvarer.</w:t>
      </w:r>
      <w:r w:rsidR="0092566C" w:rsidRPr="0092566C" w:rsidDel="0092566C">
        <w:t xml:space="preserve"> </w:t>
      </w:r>
    </w:p>
    <w:p w14:paraId="140B74D0" w14:textId="77777777" w:rsidR="00D64474" w:rsidRPr="00D64474" w:rsidRDefault="00D64474" w:rsidP="00D64474"/>
    <w:p w14:paraId="168D15A0" w14:textId="2FE8EAD3" w:rsidR="00D64474" w:rsidRPr="00C54727" w:rsidRDefault="00761C79" w:rsidP="00C54727">
      <w:pPr>
        <w:pStyle w:val="Overskrift1"/>
        <w:rPr>
          <w:b/>
          <w:bCs/>
        </w:rPr>
      </w:pPr>
      <w:bookmarkStart w:id="28" w:name="_Toc112184364"/>
      <w:r w:rsidRPr="00C54727">
        <w:rPr>
          <w:b/>
          <w:bCs/>
        </w:rPr>
        <w:t>2. Datagrundlag</w:t>
      </w:r>
      <w:bookmarkEnd w:id="28"/>
      <w:r w:rsidRPr="00C54727">
        <w:rPr>
          <w:b/>
          <w:bCs/>
        </w:rPr>
        <w:t xml:space="preserve"> </w:t>
      </w:r>
    </w:p>
    <w:p w14:paraId="2F24B0A1" w14:textId="158579D2" w:rsidR="00761C79" w:rsidRPr="00DE14A5" w:rsidRDefault="00761C79" w:rsidP="00DE14A5">
      <w:pPr>
        <w:pStyle w:val="Overskrift2"/>
        <w:rPr>
          <w:b/>
          <w:bCs/>
          <w:sz w:val="28"/>
          <w:szCs w:val="28"/>
        </w:rPr>
      </w:pPr>
      <w:bookmarkStart w:id="29" w:name="_Toc112184365"/>
      <w:r w:rsidRPr="00DE14A5">
        <w:rPr>
          <w:b/>
          <w:bCs/>
          <w:sz w:val="28"/>
          <w:szCs w:val="28"/>
        </w:rPr>
        <w:t>Sverige</w:t>
      </w:r>
      <w:bookmarkEnd w:id="29"/>
    </w:p>
    <w:p w14:paraId="3C9F269C" w14:textId="4DFC00C6" w:rsidR="00761C79" w:rsidRDefault="00761C79" w:rsidP="00857E95">
      <w:r>
        <w:t xml:space="preserve">Kommuner </w:t>
      </w:r>
    </w:p>
    <w:p w14:paraId="74086191" w14:textId="77777777" w:rsidR="0063003F" w:rsidRPr="00DE14A5" w:rsidRDefault="0063003F" w:rsidP="0063003F">
      <w:r w:rsidRPr="00DE14A5">
        <w:t>Falkenberg (interview 19 januar og møde april 2022)</w:t>
      </w:r>
    </w:p>
    <w:p w14:paraId="0093E7D9" w14:textId="77777777" w:rsidR="0063003F" w:rsidRPr="00DE14A5" w:rsidRDefault="0063003F" w:rsidP="0063003F">
      <w:r w:rsidRPr="00DE14A5">
        <w:t>Halmstad (interview 19 januar)</w:t>
      </w:r>
    </w:p>
    <w:p w14:paraId="45322029" w14:textId="77777777" w:rsidR="0063003F" w:rsidRPr="00DE14A5" w:rsidRDefault="0063003F" w:rsidP="0063003F">
      <w:r w:rsidRPr="00DE14A5">
        <w:t>Laholm (2 interview, 12 januar 2022, 18 januar)</w:t>
      </w:r>
    </w:p>
    <w:p w14:paraId="2F08A4CE" w14:textId="0D90D381" w:rsidR="0063003F" w:rsidRPr="003870A2" w:rsidRDefault="0063003F" w:rsidP="0063003F">
      <w:r w:rsidRPr="003870A2">
        <w:t>Trollhättan</w:t>
      </w:r>
      <w:r w:rsidR="0040460C">
        <w:t xml:space="preserve"> </w:t>
      </w:r>
      <w:r w:rsidRPr="003870A2">
        <w:t>(interview</w:t>
      </w:r>
      <w:r w:rsidR="0040460C">
        <w:t xml:space="preserve"> </w:t>
      </w:r>
      <w:r w:rsidRPr="003870A2">
        <w:t>2 februar 2022)</w:t>
      </w:r>
    </w:p>
    <w:p w14:paraId="79A744F4" w14:textId="77777777" w:rsidR="0063003F" w:rsidRDefault="0063003F" w:rsidP="0063003F">
      <w:r w:rsidRPr="002A236C">
        <w:t>Fyrbodal Kommunforbund (m</w:t>
      </w:r>
      <w:r>
        <w:t>øde, 8 februar 2022)</w:t>
      </w:r>
    </w:p>
    <w:p w14:paraId="210D47D8" w14:textId="77777777" w:rsidR="0063003F" w:rsidRDefault="0063003F" w:rsidP="0063003F">
      <w:r>
        <w:t>Mölndal (interview 19 januar 2022)</w:t>
      </w:r>
    </w:p>
    <w:p w14:paraId="57B67CA0" w14:textId="77777777" w:rsidR="0063003F" w:rsidRDefault="0063003F" w:rsidP="00857E95"/>
    <w:p w14:paraId="44C6D364" w14:textId="6927DEA7" w:rsidR="0011131C" w:rsidRDefault="00761C79" w:rsidP="00857E95">
      <w:r>
        <w:t>Dokumentation om erhvervsfremme strategi (näringslivstillväxt)</w:t>
      </w:r>
      <w:r w:rsidR="0063003F">
        <w:t xml:space="preserve"> fra </w:t>
      </w:r>
      <w:r w:rsidR="0011131C">
        <w:t>Trollhättan</w:t>
      </w:r>
      <w:r w:rsidR="0063003F">
        <w:t xml:space="preserve">, </w:t>
      </w:r>
      <w:r w:rsidR="0011131C">
        <w:t>Varberg</w:t>
      </w:r>
      <w:r w:rsidR="0063003F">
        <w:t xml:space="preserve">, </w:t>
      </w:r>
      <w:r w:rsidR="0011131C">
        <w:t>Laholm</w:t>
      </w:r>
      <w:r w:rsidR="0063003F">
        <w:t xml:space="preserve">, </w:t>
      </w:r>
      <w:r w:rsidR="0011131C">
        <w:t>Halmstad</w:t>
      </w:r>
    </w:p>
    <w:p w14:paraId="2A5FC49D" w14:textId="77777777" w:rsidR="0011131C" w:rsidRDefault="0011131C" w:rsidP="00857E95"/>
    <w:p w14:paraId="54CB8FF1" w14:textId="7E898FE8" w:rsidR="00761C79" w:rsidRDefault="0011131C" w:rsidP="00857E95">
      <w:r>
        <w:t>Dokumentation om bæredygtighedsstrategi</w:t>
      </w:r>
      <w:r w:rsidR="00857E95">
        <w:t xml:space="preserve"> </w:t>
      </w:r>
    </w:p>
    <w:p w14:paraId="66BCD7D8" w14:textId="75B17971" w:rsidR="00904871" w:rsidRDefault="00904871" w:rsidP="00857E95"/>
    <w:p w14:paraId="38C240F3" w14:textId="6A816E55" w:rsidR="00904871" w:rsidRPr="00904871" w:rsidRDefault="00904871" w:rsidP="00904871">
      <w:r>
        <w:t>Virksomheder undersøgt med Jeaneth-s unders</w:t>
      </w:r>
      <w:r w:rsidRPr="00904871">
        <w:t>ö</w:t>
      </w:r>
      <w:r>
        <w:t>kning</w:t>
      </w:r>
    </w:p>
    <w:p w14:paraId="0F4278A8" w14:textId="3995AC1F" w:rsidR="00904871" w:rsidRDefault="00904871" w:rsidP="00904871">
      <w:r>
        <w:t>kvantitativ</w:t>
      </w:r>
      <w:r w:rsidR="0040460C">
        <w:t xml:space="preserve"> </w:t>
      </w:r>
      <w:r>
        <w:t xml:space="preserve">undersøgelse </w:t>
      </w:r>
    </w:p>
    <w:p w14:paraId="348CED8C" w14:textId="1D81D353" w:rsidR="00904871" w:rsidRDefault="00904871" w:rsidP="00857E95"/>
    <w:p w14:paraId="1894EB3A" w14:textId="2410BBE8" w:rsidR="00904871" w:rsidRDefault="00904871" w:rsidP="00857E95"/>
    <w:p w14:paraId="310570B9" w14:textId="77777777" w:rsidR="00904871" w:rsidRDefault="00904871" w:rsidP="00857E95"/>
    <w:p w14:paraId="069C301C" w14:textId="1CA20F8D" w:rsidR="0063003F" w:rsidRPr="00FD3D7D" w:rsidRDefault="0040460C" w:rsidP="0063003F">
      <w:pPr>
        <w:rPr>
          <w:b/>
          <w:bCs/>
        </w:rPr>
      </w:pPr>
      <w:r>
        <w:t xml:space="preserve"> </w:t>
      </w:r>
      <w:r w:rsidR="0063003F" w:rsidRPr="00FD3D7D">
        <w:rPr>
          <w:b/>
          <w:bCs/>
        </w:rPr>
        <w:t xml:space="preserve">Virksomheder i Sverige </w:t>
      </w:r>
    </w:p>
    <w:p w14:paraId="30EE598C" w14:textId="77777777" w:rsidR="0063003F" w:rsidRPr="00FD3D7D" w:rsidRDefault="0063003F" w:rsidP="0063003F">
      <w:r w:rsidRPr="00FD3D7D">
        <w:t>Wästbygg (mail dialog</w:t>
      </w:r>
      <w:r>
        <w:t xml:space="preserve"> april maj 2022, interview aflyst 23 marts 2022</w:t>
      </w:r>
      <w:r w:rsidRPr="00FD3D7D">
        <w:t>)</w:t>
      </w:r>
    </w:p>
    <w:p w14:paraId="42EE0C40" w14:textId="77777777" w:rsidR="0063003F" w:rsidRDefault="0063003F" w:rsidP="0063003F">
      <w:r w:rsidRPr="008D1411">
        <w:t>Wihlborg (igenne</w:t>
      </w:r>
      <w:r>
        <w:t>m Malmö Universitet maj 2022)</w:t>
      </w:r>
    </w:p>
    <w:p w14:paraId="4158DC86" w14:textId="77777777" w:rsidR="0063003F" w:rsidRPr="009509BE" w:rsidRDefault="0063003F" w:rsidP="0063003F">
      <w:r w:rsidRPr="009509BE">
        <w:t>Vestia/Ratos (interview den 5 maj</w:t>
      </w:r>
      <w:r>
        <w:t>, 9 februar 2022</w:t>
      </w:r>
      <w:r w:rsidRPr="009509BE">
        <w:t>)</w:t>
      </w:r>
    </w:p>
    <w:p w14:paraId="0910E264" w14:textId="77777777" w:rsidR="0063003F" w:rsidRPr="004E7215" w:rsidRDefault="0063003F" w:rsidP="0063003F">
      <w:r w:rsidRPr="004E7215">
        <w:t xml:space="preserve">Järngrinden </w:t>
      </w:r>
      <w:r>
        <w:t>(</w:t>
      </w:r>
      <w:r w:rsidRPr="004E7215">
        <w:t>i</w:t>
      </w:r>
      <w:r>
        <w:t>nterview og møde 12 januar 2022)</w:t>
      </w:r>
    </w:p>
    <w:p w14:paraId="67C9C468" w14:textId="77777777" w:rsidR="0063003F" w:rsidRPr="004E7215" w:rsidRDefault="0063003F" w:rsidP="0063003F">
      <w:r w:rsidRPr="004E7215">
        <w:t>Peab (dialoger, maildialog</w:t>
      </w:r>
      <w:r>
        <w:t xml:space="preserve"> efterår 2021 og forår 2022</w:t>
      </w:r>
      <w:r w:rsidRPr="004E7215">
        <w:t>)</w:t>
      </w:r>
    </w:p>
    <w:p w14:paraId="7CF621E8" w14:textId="6596A523" w:rsidR="00761C79" w:rsidRDefault="00761C79" w:rsidP="00857E95"/>
    <w:p w14:paraId="08ACF6E0" w14:textId="10BCD8CE" w:rsidR="00723339" w:rsidRDefault="0063003F" w:rsidP="00857E95">
      <w:r>
        <w:t>De v</w:t>
      </w:r>
      <w:r w:rsidR="00A302BD">
        <w:t>irksomhede</w:t>
      </w:r>
      <w:r>
        <w:t>r</w:t>
      </w:r>
      <w:r w:rsidR="0011333C">
        <w:t xml:space="preserve"> </w:t>
      </w:r>
      <w:r>
        <w:t>d</w:t>
      </w:r>
      <w:r w:rsidR="0011333C">
        <w:t xml:space="preserve">er </w:t>
      </w:r>
      <w:r>
        <w:t xml:space="preserve">er </w:t>
      </w:r>
      <w:r w:rsidR="0011333C">
        <w:t>blevet</w:t>
      </w:r>
      <w:r w:rsidR="0040460C">
        <w:t xml:space="preserve"> </w:t>
      </w:r>
      <w:r w:rsidR="00A302BD">
        <w:t>unders</w:t>
      </w:r>
      <w:r w:rsidR="0011333C">
        <w:t>ø</w:t>
      </w:r>
      <w:r w:rsidR="00A302BD">
        <w:t>gt med deskstudie (årsrapporter (årsredovisningar), hjemmesider mm)</w:t>
      </w:r>
      <w:r w:rsidR="003E6C6B">
        <w:t xml:space="preserve"> </w:t>
      </w:r>
      <w:r w:rsidR="00317BF8">
        <w:t>er udvalgt ud</w:t>
      </w:r>
      <w:r w:rsidR="00671C4D">
        <w:t xml:space="preserve"> </w:t>
      </w:r>
      <w:r w:rsidR="00317BF8">
        <w:t>fra uafhængige observatører af markedets vurdering af hvilke selskaber i de enkelte delbrancher der er de største (Banker (REFXX) Ejendomsselskaber (REF YY), Entreprenører (REFZZ), Rådgivende Ingeniører (og arkitekter) (Innovationsf</w:t>
      </w:r>
      <w:r w:rsidR="00317BF8" w:rsidRPr="00317BF8">
        <w:t>ö</w:t>
      </w:r>
      <w:r w:rsidR="00317BF8">
        <w:t>retagen 2019)). Derudover har der været søgt efter links imellem de forskellige firmatyper, som i nogen tilfælde har givet anledning til at inkludere ekstra</w:t>
      </w:r>
      <w:r w:rsidR="00723339">
        <w:t xml:space="preserve"> virksomheder. </w:t>
      </w:r>
    </w:p>
    <w:p w14:paraId="2E13927E" w14:textId="2DE4B68A" w:rsidR="00317BF8" w:rsidRPr="00671C4D" w:rsidRDefault="00317BF8" w:rsidP="00857E95">
      <w:pPr>
        <w:rPr>
          <w:rFonts w:asciiTheme="minorHAnsi" w:hAnsiTheme="minorHAnsi" w:cstheme="minorHAnsi"/>
          <w:sz w:val="24"/>
          <w:szCs w:val="24"/>
        </w:rPr>
      </w:pPr>
      <w:r>
        <w:t xml:space="preserve"> </w:t>
      </w:r>
      <w:r w:rsidR="00723339">
        <w:t>I mange tilfælde er disse selskaber landsdækkende og i nogen tilfælde internationalt opererende. Deres aktiviteter i de respektive regionale områder er blevet kortlagt, udfra den præmis at deres betydning for den regionale udvikling er i synergi med en bredere tilstedeværelse.</w:t>
      </w:r>
      <w:r w:rsidR="0040460C">
        <w:t xml:space="preserve"> </w:t>
      </w:r>
      <w:r w:rsidR="00723339">
        <w:t>Med henblik på deltagelse i et eventuelt fremtidigt er hovedsædet kortlagt og angivet nedenfor.</w:t>
      </w:r>
      <w:r w:rsidR="00DB0AE8">
        <w:t xml:space="preserve"> </w:t>
      </w:r>
      <w:r w:rsidR="00DB0AE8" w:rsidRPr="00671C4D">
        <w:t xml:space="preserve">Interreg programmet KASK </w:t>
      </w:r>
      <w:r w:rsidR="00DB0AE8" w:rsidRPr="00671C4D">
        <w:rPr>
          <w:rFonts w:cstheme="minorHAnsi"/>
          <w:sz w:val="24"/>
          <w:szCs w:val="24"/>
        </w:rPr>
        <w:t xml:space="preserve">dækker </w:t>
      </w:r>
      <w:r w:rsidR="00DB0AE8" w:rsidRPr="00671C4D">
        <w:rPr>
          <w:rFonts w:cstheme="minorHAnsi"/>
          <w:color w:val="222222"/>
        </w:rPr>
        <w:t>regionerne Halland og</w:t>
      </w:r>
      <w:r w:rsidR="0040460C">
        <w:rPr>
          <w:rFonts w:cstheme="minorHAnsi"/>
          <w:color w:val="222222"/>
        </w:rPr>
        <w:t xml:space="preserve"> </w:t>
      </w:r>
      <w:r w:rsidR="00DB0AE8" w:rsidRPr="00671C4D">
        <w:rPr>
          <w:rFonts w:cstheme="minorHAnsi"/>
          <w:color w:val="222222"/>
        </w:rPr>
        <w:t>Västra Götaland,</w:t>
      </w:r>
    </w:p>
    <w:p w14:paraId="5CDA0A60" w14:textId="77777777" w:rsidR="00DB0AE8" w:rsidRPr="00671C4D" w:rsidRDefault="00DB0AE8" w:rsidP="00857E95"/>
    <w:p w14:paraId="141877AC" w14:textId="77777777" w:rsidR="00D26C7A" w:rsidRPr="006E1539" w:rsidRDefault="00D26C7A" w:rsidP="00D26C7A">
      <w:pPr>
        <w:spacing w:after="0" w:line="240" w:lineRule="auto"/>
        <w:rPr>
          <w:b/>
          <w:bCs/>
        </w:rPr>
      </w:pPr>
      <w:r w:rsidRPr="00D26C7A">
        <w:rPr>
          <w:b/>
          <w:bCs/>
        </w:rPr>
        <w:t>Banker (SE)</w:t>
      </w:r>
      <w:r w:rsidRPr="006E1539">
        <w:rPr>
          <w:b/>
          <w:bCs/>
        </w:rPr>
        <w:tab/>
      </w:r>
    </w:p>
    <w:p w14:paraId="09B3BB8F" w14:textId="77777777" w:rsidR="00D26C7A" w:rsidRDefault="00D26C7A" w:rsidP="00D26C7A">
      <w:pPr>
        <w:spacing w:after="0" w:line="240" w:lineRule="auto"/>
      </w:pPr>
      <w:r>
        <w:t>Handelsbanken</w:t>
      </w:r>
      <w:r>
        <w:tab/>
      </w:r>
    </w:p>
    <w:p w14:paraId="4F2F07A8" w14:textId="77777777" w:rsidR="00D26C7A" w:rsidRDefault="00D26C7A" w:rsidP="00D26C7A">
      <w:pPr>
        <w:spacing w:after="0" w:line="240" w:lineRule="auto"/>
      </w:pPr>
      <w:r>
        <w:t>SEB</w:t>
      </w:r>
      <w:r>
        <w:tab/>
      </w:r>
    </w:p>
    <w:p w14:paraId="5A45A666" w14:textId="379E46AE" w:rsidR="00D26C7A" w:rsidRPr="00D26C7A" w:rsidRDefault="00D26C7A" w:rsidP="00D26C7A">
      <w:pPr>
        <w:spacing w:after="0" w:line="240" w:lineRule="auto"/>
      </w:pPr>
      <w:r>
        <w:t xml:space="preserve">Carnegie </w:t>
      </w:r>
      <w:r>
        <w:tab/>
      </w:r>
      <w:r w:rsidR="003E6C6B">
        <w:t xml:space="preserve">    </w:t>
      </w:r>
    </w:p>
    <w:p w14:paraId="3D0D8640" w14:textId="2A1FBC6B" w:rsidR="00D26C7A" w:rsidRDefault="00D26C7A" w:rsidP="00D26C7A">
      <w:pPr>
        <w:spacing w:after="0" w:line="240" w:lineRule="auto"/>
      </w:pPr>
      <w:r>
        <w:t xml:space="preserve">Danske Bank </w:t>
      </w:r>
      <w:r>
        <w:tab/>
      </w:r>
      <w:r>
        <w:tab/>
      </w:r>
      <w:r>
        <w:tab/>
      </w:r>
      <w:r w:rsidR="003E6C6B">
        <w:t xml:space="preserve">      </w:t>
      </w:r>
      <w:r>
        <w:t>-</w:t>
      </w:r>
    </w:p>
    <w:p w14:paraId="4AE40E01" w14:textId="77777777" w:rsidR="00D26C7A" w:rsidRDefault="00D26C7A" w:rsidP="00D26C7A">
      <w:pPr>
        <w:spacing w:after="0" w:line="240" w:lineRule="auto"/>
      </w:pPr>
      <w:r>
        <w:t>Swedbank</w:t>
      </w:r>
      <w:r>
        <w:tab/>
      </w:r>
    </w:p>
    <w:p w14:paraId="29FA2484" w14:textId="77777777" w:rsidR="00D26C7A" w:rsidRDefault="00D26C7A" w:rsidP="00D26C7A">
      <w:pPr>
        <w:spacing w:after="0" w:line="240" w:lineRule="auto"/>
      </w:pPr>
    </w:p>
    <w:p w14:paraId="7C57A1DC" w14:textId="77777777" w:rsidR="00D26C7A" w:rsidRPr="00D26C7A" w:rsidRDefault="00D26C7A" w:rsidP="00D26C7A">
      <w:pPr>
        <w:spacing w:after="0" w:line="240" w:lineRule="auto"/>
        <w:rPr>
          <w:b/>
          <w:bCs/>
        </w:rPr>
      </w:pPr>
      <w:r w:rsidRPr="00D26C7A">
        <w:rPr>
          <w:b/>
          <w:bCs/>
        </w:rPr>
        <w:t>Ejendomsselskaber (SE)</w:t>
      </w:r>
    </w:p>
    <w:p w14:paraId="48E960D2" w14:textId="77777777" w:rsidR="00D26C7A" w:rsidRPr="00DE14A5" w:rsidRDefault="00D26C7A" w:rsidP="00D26C7A">
      <w:pPr>
        <w:spacing w:after="0" w:line="240" w:lineRule="auto"/>
      </w:pPr>
      <w:r w:rsidRPr="00DE14A5">
        <w:t>Atrium Ljungberg</w:t>
      </w:r>
      <w:r w:rsidRPr="00DE14A5">
        <w:tab/>
      </w:r>
    </w:p>
    <w:p w14:paraId="3C342158" w14:textId="77777777" w:rsidR="00D26C7A" w:rsidRPr="00D26C7A" w:rsidRDefault="00D26C7A" w:rsidP="00D26C7A">
      <w:pPr>
        <w:spacing w:after="0" w:line="240" w:lineRule="auto"/>
        <w:rPr>
          <w:lang w:val="sv-SE"/>
        </w:rPr>
      </w:pPr>
      <w:r w:rsidRPr="00D26C7A">
        <w:rPr>
          <w:lang w:val="sv-SE"/>
        </w:rPr>
        <w:t>Akademiska Hus</w:t>
      </w:r>
      <w:r w:rsidRPr="00D26C7A">
        <w:rPr>
          <w:lang w:val="sv-SE"/>
        </w:rPr>
        <w:tab/>
      </w:r>
      <w:r w:rsidRPr="00D26C7A">
        <w:rPr>
          <w:lang w:val="sv-SE"/>
        </w:rPr>
        <w:tab/>
        <w:t xml:space="preserve"> </w:t>
      </w:r>
    </w:p>
    <w:p w14:paraId="36F00AA1" w14:textId="6A1B515E" w:rsidR="00D26C7A" w:rsidRPr="00D26C7A" w:rsidRDefault="00D26C7A" w:rsidP="00D26C7A">
      <w:pPr>
        <w:spacing w:after="0" w:line="240" w:lineRule="auto"/>
        <w:rPr>
          <w:lang w:val="sv-SE"/>
        </w:rPr>
      </w:pPr>
      <w:r w:rsidRPr="00D26C7A">
        <w:rPr>
          <w:lang w:val="sv-SE"/>
        </w:rPr>
        <w:t>Balder</w:t>
      </w:r>
      <w:r w:rsidR="009F2B20">
        <w:rPr>
          <w:lang w:val="sv-SE"/>
        </w:rPr>
        <w:t xml:space="preserve"> (Göteborg</w:t>
      </w:r>
      <w:r w:rsidR="00D7371A">
        <w:rPr>
          <w:lang w:val="sv-SE"/>
        </w:rPr>
        <w:t xml:space="preserve"> SE</w:t>
      </w:r>
      <w:r w:rsidR="009F2B20">
        <w:rPr>
          <w:lang w:val="sv-SE"/>
        </w:rPr>
        <w:t>)</w:t>
      </w:r>
      <w:r w:rsidRPr="00D26C7A">
        <w:rPr>
          <w:lang w:val="sv-SE"/>
        </w:rPr>
        <w:tab/>
      </w:r>
    </w:p>
    <w:p w14:paraId="31D49E47" w14:textId="11EEC095" w:rsidR="00D26C7A" w:rsidRPr="00D26C7A" w:rsidRDefault="00D26C7A" w:rsidP="00D26C7A">
      <w:pPr>
        <w:spacing w:after="0" w:line="240" w:lineRule="auto"/>
        <w:rPr>
          <w:lang w:val="sv-SE"/>
        </w:rPr>
      </w:pPr>
      <w:r w:rsidRPr="00D26C7A">
        <w:rPr>
          <w:lang w:val="sv-SE"/>
        </w:rPr>
        <w:t>Castellum</w:t>
      </w:r>
      <w:r w:rsidR="000356D6">
        <w:rPr>
          <w:lang w:val="sv-SE"/>
        </w:rPr>
        <w:t xml:space="preserve"> (Göteborg SE)</w:t>
      </w:r>
      <w:r w:rsidRPr="00D26C7A">
        <w:rPr>
          <w:lang w:val="sv-SE"/>
        </w:rPr>
        <w:tab/>
      </w:r>
    </w:p>
    <w:p w14:paraId="44C8D0D3" w14:textId="77777777" w:rsidR="00D26C7A" w:rsidRPr="00D26C7A" w:rsidRDefault="00D26C7A" w:rsidP="00D26C7A">
      <w:pPr>
        <w:spacing w:after="0" w:line="240" w:lineRule="auto"/>
        <w:rPr>
          <w:lang w:val="sv-SE"/>
        </w:rPr>
      </w:pPr>
      <w:r w:rsidRPr="00D26C7A">
        <w:rPr>
          <w:lang w:val="sv-SE"/>
        </w:rPr>
        <w:t>Fabege</w:t>
      </w:r>
      <w:r w:rsidRPr="00D26C7A">
        <w:rPr>
          <w:lang w:val="sv-SE"/>
        </w:rPr>
        <w:tab/>
      </w:r>
    </w:p>
    <w:p w14:paraId="67000FFB" w14:textId="77777777" w:rsidR="00D26C7A" w:rsidRPr="00D26C7A" w:rsidRDefault="00D26C7A" w:rsidP="00D26C7A">
      <w:pPr>
        <w:spacing w:after="0" w:line="240" w:lineRule="auto"/>
        <w:rPr>
          <w:lang w:val="sv-SE"/>
        </w:rPr>
      </w:pPr>
      <w:r w:rsidRPr="00D26C7A">
        <w:rPr>
          <w:lang w:val="sv-SE"/>
        </w:rPr>
        <w:t>Magnolia</w:t>
      </w:r>
      <w:r w:rsidRPr="00D26C7A">
        <w:rPr>
          <w:lang w:val="sv-SE"/>
        </w:rPr>
        <w:tab/>
      </w:r>
      <w:r w:rsidRPr="00D26C7A">
        <w:rPr>
          <w:lang w:val="sv-SE"/>
        </w:rPr>
        <w:tab/>
        <w:t xml:space="preserve"> </w:t>
      </w:r>
    </w:p>
    <w:p w14:paraId="08720E84" w14:textId="77777777" w:rsidR="00D26C7A" w:rsidRPr="00D26C7A" w:rsidRDefault="00D26C7A" w:rsidP="00D26C7A">
      <w:pPr>
        <w:spacing w:after="0" w:line="240" w:lineRule="auto"/>
        <w:rPr>
          <w:lang w:val="sv-SE"/>
        </w:rPr>
      </w:pPr>
      <w:r w:rsidRPr="00D26C7A">
        <w:rPr>
          <w:lang w:val="sv-SE"/>
        </w:rPr>
        <w:t>SBB Norden</w:t>
      </w:r>
      <w:r w:rsidRPr="00D26C7A">
        <w:rPr>
          <w:lang w:val="sv-SE"/>
        </w:rPr>
        <w:tab/>
      </w:r>
    </w:p>
    <w:p w14:paraId="1AA39ADF" w14:textId="058DD88C" w:rsidR="00D26C7A" w:rsidRPr="00D26C7A" w:rsidRDefault="00D26C7A" w:rsidP="00D26C7A">
      <w:pPr>
        <w:spacing w:after="0" w:line="240" w:lineRule="auto"/>
        <w:rPr>
          <w:lang w:val="sv-SE"/>
        </w:rPr>
      </w:pPr>
      <w:r w:rsidRPr="00D26C7A">
        <w:rPr>
          <w:lang w:val="sv-SE"/>
        </w:rPr>
        <w:t>Vasakronan</w:t>
      </w:r>
      <w:r w:rsidR="003D2AAC">
        <w:rPr>
          <w:lang w:val="sv-SE"/>
        </w:rPr>
        <w:t xml:space="preserve"> (Stockholm SE)</w:t>
      </w:r>
      <w:r w:rsidRPr="00D26C7A">
        <w:rPr>
          <w:lang w:val="sv-SE"/>
        </w:rPr>
        <w:tab/>
        <w:t xml:space="preserve"> </w:t>
      </w:r>
    </w:p>
    <w:p w14:paraId="11792A57" w14:textId="77777777" w:rsidR="00D26C7A" w:rsidRPr="00D26C7A" w:rsidRDefault="00D26C7A" w:rsidP="00D26C7A">
      <w:pPr>
        <w:spacing w:after="0" w:line="240" w:lineRule="auto"/>
        <w:rPr>
          <w:lang w:val="sv-SE"/>
        </w:rPr>
      </w:pPr>
      <w:r w:rsidRPr="00D26C7A">
        <w:rPr>
          <w:lang w:val="sv-SE"/>
        </w:rPr>
        <w:t>Heimstaden</w:t>
      </w:r>
      <w:r w:rsidRPr="00D26C7A">
        <w:rPr>
          <w:lang w:val="sv-SE"/>
        </w:rPr>
        <w:tab/>
      </w:r>
      <w:r w:rsidRPr="00D26C7A">
        <w:rPr>
          <w:lang w:val="sv-SE"/>
        </w:rPr>
        <w:tab/>
        <w:t xml:space="preserve"> </w:t>
      </w:r>
    </w:p>
    <w:p w14:paraId="1B3B7310" w14:textId="1E71BBBF" w:rsidR="0063003F" w:rsidRDefault="00D26C7A" w:rsidP="00D26C7A">
      <w:pPr>
        <w:spacing w:after="0" w:line="240" w:lineRule="auto"/>
        <w:rPr>
          <w:lang w:val="sv-SE"/>
        </w:rPr>
      </w:pPr>
      <w:r w:rsidRPr="00671C4D">
        <w:rPr>
          <w:lang w:val="sv-SE"/>
        </w:rPr>
        <w:t>Platzer</w:t>
      </w:r>
      <w:r w:rsidR="0040460C">
        <w:rPr>
          <w:lang w:val="sv-SE"/>
        </w:rPr>
        <w:t xml:space="preserve"> </w:t>
      </w:r>
      <w:r w:rsidR="00723339" w:rsidRPr="00671C4D">
        <w:rPr>
          <w:lang w:val="sv-SE"/>
        </w:rPr>
        <w:t>(Göteborg</w:t>
      </w:r>
      <w:r w:rsidR="003D2AAC" w:rsidRPr="00671C4D">
        <w:rPr>
          <w:lang w:val="sv-SE"/>
        </w:rPr>
        <w:t xml:space="preserve"> SE</w:t>
      </w:r>
      <w:r w:rsidR="00723339" w:rsidRPr="00671C4D">
        <w:rPr>
          <w:lang w:val="sv-SE"/>
        </w:rPr>
        <w:t>)</w:t>
      </w:r>
    </w:p>
    <w:p w14:paraId="705A1076" w14:textId="73D7072E" w:rsidR="00D26C7A" w:rsidRPr="00671C4D" w:rsidRDefault="00D26C7A" w:rsidP="00D26C7A">
      <w:pPr>
        <w:spacing w:after="0" w:line="240" w:lineRule="auto"/>
        <w:rPr>
          <w:lang w:val="sv-SE"/>
        </w:rPr>
      </w:pPr>
      <w:r w:rsidRPr="00671C4D">
        <w:rPr>
          <w:lang w:val="sv-SE"/>
        </w:rPr>
        <w:tab/>
      </w:r>
      <w:r w:rsidRPr="00671C4D">
        <w:rPr>
          <w:lang w:val="sv-SE"/>
        </w:rPr>
        <w:tab/>
        <w:t xml:space="preserve"> </w:t>
      </w:r>
      <w:r w:rsidRPr="00671C4D">
        <w:rPr>
          <w:lang w:val="sv-SE"/>
        </w:rPr>
        <w:tab/>
        <w:t xml:space="preserve"> </w:t>
      </w:r>
    </w:p>
    <w:p w14:paraId="4A367C4C" w14:textId="77777777" w:rsidR="00D26C7A" w:rsidRPr="00A746EF" w:rsidRDefault="00D26C7A" w:rsidP="00D26C7A">
      <w:pPr>
        <w:spacing w:after="0" w:line="240" w:lineRule="auto"/>
        <w:rPr>
          <w:b/>
          <w:bCs/>
        </w:rPr>
      </w:pPr>
      <w:bookmarkStart w:id="30" w:name="_Hlk107187014"/>
      <w:r w:rsidRPr="00A746EF">
        <w:rPr>
          <w:b/>
          <w:bCs/>
        </w:rPr>
        <w:t>Rådgivere (SE)</w:t>
      </w:r>
    </w:p>
    <w:p w14:paraId="274B4C26" w14:textId="4DF29A94" w:rsidR="00D26C7A" w:rsidRPr="00D26C7A" w:rsidRDefault="00D26C7A" w:rsidP="00D26C7A">
      <w:pPr>
        <w:spacing w:after="0" w:line="240" w:lineRule="auto"/>
      </w:pPr>
      <w:r w:rsidRPr="00D26C7A">
        <w:t>SWECO</w:t>
      </w:r>
      <w:r w:rsidR="00011971">
        <w:t xml:space="preserve"> (Stockholm SE)</w:t>
      </w:r>
    </w:p>
    <w:p w14:paraId="0EB50DCC" w14:textId="345949E3" w:rsidR="00D26C7A" w:rsidRPr="00D26C7A" w:rsidRDefault="00D26C7A" w:rsidP="00D26C7A">
      <w:pPr>
        <w:spacing w:after="0" w:line="240" w:lineRule="auto"/>
      </w:pPr>
      <w:r>
        <w:t>AFR</w:t>
      </w:r>
      <w:r w:rsidRPr="00D26C7A">
        <w:t>Y</w:t>
      </w:r>
      <w:r w:rsidR="00205856">
        <w:t xml:space="preserve"> (Solna SE)</w:t>
      </w:r>
    </w:p>
    <w:p w14:paraId="52DF033B" w14:textId="02C14C13" w:rsidR="00D26C7A" w:rsidRDefault="00D26C7A" w:rsidP="00D26C7A">
      <w:pPr>
        <w:spacing w:after="0" w:line="240" w:lineRule="auto"/>
      </w:pPr>
      <w:r>
        <w:t>RAMBÖLL</w:t>
      </w:r>
      <w:r w:rsidR="002350A4">
        <w:t xml:space="preserve"> (København</w:t>
      </w:r>
      <w:r w:rsidR="00205856">
        <w:t xml:space="preserve"> DK</w:t>
      </w:r>
      <w:r w:rsidR="002350A4">
        <w:t>)</w:t>
      </w:r>
      <w:r>
        <w:tab/>
      </w:r>
    </w:p>
    <w:p w14:paraId="508BCA25" w14:textId="5808ECD7" w:rsidR="00D26C7A" w:rsidRPr="00671C4D" w:rsidRDefault="00D26C7A" w:rsidP="00D26C7A">
      <w:pPr>
        <w:spacing w:after="0" w:line="240" w:lineRule="auto"/>
        <w:rPr>
          <w:lang w:val="en-GB"/>
        </w:rPr>
      </w:pPr>
      <w:r w:rsidRPr="00671C4D">
        <w:rPr>
          <w:lang w:val="en-GB"/>
        </w:rPr>
        <w:t>COWI</w:t>
      </w:r>
      <w:r w:rsidR="002350A4" w:rsidRPr="00671C4D">
        <w:rPr>
          <w:lang w:val="en-GB"/>
        </w:rPr>
        <w:t xml:space="preserve"> (Lyngby</w:t>
      </w:r>
      <w:r w:rsidR="00205856" w:rsidRPr="00671C4D">
        <w:rPr>
          <w:lang w:val="en-GB"/>
        </w:rPr>
        <w:t xml:space="preserve"> DK</w:t>
      </w:r>
      <w:r w:rsidR="002350A4" w:rsidRPr="00671C4D">
        <w:rPr>
          <w:lang w:val="en-GB"/>
        </w:rPr>
        <w:t>)</w:t>
      </w:r>
    </w:p>
    <w:p w14:paraId="1DD6D3DF" w14:textId="3CBB73F2" w:rsidR="00D26C7A" w:rsidRPr="00205856" w:rsidRDefault="00D26C7A" w:rsidP="00D26C7A">
      <w:pPr>
        <w:spacing w:after="0" w:line="240" w:lineRule="auto"/>
        <w:rPr>
          <w:lang w:val="en-GB"/>
        </w:rPr>
      </w:pPr>
      <w:r w:rsidRPr="002350A4">
        <w:rPr>
          <w:lang w:val="en-GB"/>
        </w:rPr>
        <w:t>WSP</w:t>
      </w:r>
      <w:r w:rsidR="002350A4" w:rsidRPr="002350A4">
        <w:rPr>
          <w:lang w:val="en-GB"/>
        </w:rPr>
        <w:t xml:space="preserve"> (Montreal C</w:t>
      </w:r>
      <w:r w:rsidR="002350A4">
        <w:rPr>
          <w:lang w:val="en-GB"/>
        </w:rPr>
        <w:t>A)</w:t>
      </w:r>
    </w:p>
    <w:p w14:paraId="558AD11A" w14:textId="7FD3FB7B" w:rsidR="00D26C7A" w:rsidRPr="002548D2" w:rsidRDefault="00D26C7A" w:rsidP="00D26C7A">
      <w:pPr>
        <w:spacing w:after="0" w:line="240" w:lineRule="auto"/>
      </w:pPr>
      <w:r w:rsidRPr="002548D2">
        <w:t>Tyréns</w:t>
      </w:r>
      <w:r w:rsidR="00205856" w:rsidRPr="002548D2">
        <w:t xml:space="preserve"> (Stockholm /SE)</w:t>
      </w:r>
      <w:r w:rsidRPr="002548D2">
        <w:tab/>
      </w:r>
    </w:p>
    <w:p w14:paraId="4984AA09" w14:textId="66871617" w:rsidR="00D26C7A" w:rsidRPr="002548D2" w:rsidRDefault="00D26C7A" w:rsidP="00D26C7A">
      <w:pPr>
        <w:spacing w:after="0" w:line="240" w:lineRule="auto"/>
      </w:pPr>
      <w:bookmarkStart w:id="31" w:name="_Hlk102424285"/>
      <w:r w:rsidRPr="002548D2">
        <w:t>Bengt Dahlgren</w:t>
      </w:r>
      <w:r w:rsidR="00723339" w:rsidRPr="002548D2">
        <w:t xml:space="preserve"> (Gøteborg) </w:t>
      </w:r>
    </w:p>
    <w:bookmarkEnd w:id="31"/>
    <w:bookmarkEnd w:id="30"/>
    <w:p w14:paraId="40F053A7" w14:textId="77777777" w:rsidR="0063003F" w:rsidRPr="002548D2" w:rsidRDefault="0063003F" w:rsidP="00D26C7A">
      <w:pPr>
        <w:spacing w:after="0" w:line="240" w:lineRule="auto"/>
        <w:rPr>
          <w:b/>
          <w:bCs/>
        </w:rPr>
      </w:pPr>
    </w:p>
    <w:p w14:paraId="017C0213" w14:textId="363240E5" w:rsidR="00D26C7A" w:rsidRPr="002548D2" w:rsidRDefault="00D26C7A" w:rsidP="00D26C7A">
      <w:pPr>
        <w:spacing w:after="0" w:line="240" w:lineRule="auto"/>
        <w:rPr>
          <w:b/>
          <w:bCs/>
        </w:rPr>
      </w:pPr>
      <w:r w:rsidRPr="002548D2">
        <w:rPr>
          <w:b/>
          <w:bCs/>
        </w:rPr>
        <w:t>Entreprenörer (SE)</w:t>
      </w:r>
    </w:p>
    <w:p w14:paraId="0D684E79" w14:textId="397A3C03" w:rsidR="00D26C7A" w:rsidRPr="002548D2" w:rsidRDefault="00D26C7A" w:rsidP="00D26C7A">
      <w:pPr>
        <w:spacing w:after="0" w:line="240" w:lineRule="auto"/>
      </w:pPr>
      <w:r w:rsidRPr="002548D2">
        <w:t>JM AB</w:t>
      </w:r>
      <w:r w:rsidR="0047791E" w:rsidRPr="002548D2">
        <w:t xml:space="preserve"> (Stockholm SE)</w:t>
      </w:r>
      <w:r w:rsidRPr="002548D2">
        <w:tab/>
      </w:r>
    </w:p>
    <w:p w14:paraId="75973AF1" w14:textId="3E888AD1" w:rsidR="00D26C7A" w:rsidRPr="002548D2" w:rsidRDefault="00D26C7A" w:rsidP="00D26C7A">
      <w:pPr>
        <w:spacing w:after="0" w:line="240" w:lineRule="auto"/>
      </w:pPr>
      <w:r w:rsidRPr="002548D2">
        <w:t>Skanska</w:t>
      </w:r>
      <w:r w:rsidR="0047791E" w:rsidRPr="002548D2">
        <w:t xml:space="preserve"> (Solna, SE) </w:t>
      </w:r>
    </w:p>
    <w:p w14:paraId="45BD23BA" w14:textId="1F682F83" w:rsidR="00D26C7A" w:rsidRPr="002548D2" w:rsidRDefault="00D26C7A" w:rsidP="00D26C7A">
      <w:pPr>
        <w:spacing w:after="0" w:line="240" w:lineRule="auto"/>
      </w:pPr>
      <w:r w:rsidRPr="002548D2">
        <w:t>NCC</w:t>
      </w:r>
      <w:r w:rsidR="002350A4" w:rsidRPr="002548D2">
        <w:t xml:space="preserve"> (Solna SE)</w:t>
      </w:r>
      <w:r w:rsidRPr="002548D2">
        <w:tab/>
      </w:r>
    </w:p>
    <w:p w14:paraId="041075A9" w14:textId="411BD686" w:rsidR="00D26C7A" w:rsidRPr="00D7371A" w:rsidRDefault="00D26C7A" w:rsidP="00D26C7A">
      <w:pPr>
        <w:spacing w:after="0" w:line="240" w:lineRule="auto"/>
        <w:rPr>
          <w:lang w:val="nb-NO"/>
        </w:rPr>
      </w:pPr>
      <w:bookmarkStart w:id="32" w:name="_Hlk102424622"/>
      <w:r w:rsidRPr="00D7371A">
        <w:rPr>
          <w:lang w:val="nb-NO"/>
        </w:rPr>
        <w:t>PEAB</w:t>
      </w:r>
      <w:r w:rsidR="009152BE" w:rsidRPr="00D7371A">
        <w:rPr>
          <w:lang w:val="nb-NO"/>
        </w:rPr>
        <w:t xml:space="preserve"> (Förslöv, Båstad</w:t>
      </w:r>
      <w:r w:rsidR="0047791E" w:rsidRPr="00D7371A">
        <w:rPr>
          <w:lang w:val="nb-NO"/>
        </w:rPr>
        <w:t>, SE</w:t>
      </w:r>
      <w:r w:rsidR="009152BE" w:rsidRPr="00D7371A">
        <w:rPr>
          <w:lang w:val="nb-NO"/>
        </w:rPr>
        <w:t xml:space="preserve">) </w:t>
      </w:r>
    </w:p>
    <w:bookmarkEnd w:id="32"/>
    <w:p w14:paraId="067E74C4" w14:textId="0963CF77" w:rsidR="00D26C7A" w:rsidRPr="00D26C7A" w:rsidRDefault="00D26C7A" w:rsidP="00D26C7A">
      <w:pPr>
        <w:spacing w:after="0" w:line="240" w:lineRule="auto"/>
        <w:rPr>
          <w:lang w:val="nb-NO"/>
        </w:rPr>
      </w:pPr>
      <w:r w:rsidRPr="00D26C7A">
        <w:rPr>
          <w:lang w:val="nb-NO"/>
        </w:rPr>
        <w:t xml:space="preserve">Veidekke </w:t>
      </w:r>
      <w:r w:rsidR="00302BAA">
        <w:rPr>
          <w:lang w:val="nb-NO"/>
        </w:rPr>
        <w:t xml:space="preserve">AB </w:t>
      </w:r>
      <w:r w:rsidR="0047791E">
        <w:rPr>
          <w:lang w:val="nb-NO"/>
        </w:rPr>
        <w:t>(Stockholm SE)</w:t>
      </w:r>
      <w:r w:rsidR="00302BAA">
        <w:rPr>
          <w:lang w:val="nb-NO"/>
        </w:rPr>
        <w:t>/Veidekke ASA</w:t>
      </w:r>
      <w:r w:rsidRPr="00D26C7A">
        <w:rPr>
          <w:lang w:val="nb-NO"/>
        </w:rPr>
        <w:tab/>
      </w:r>
    </w:p>
    <w:p w14:paraId="3C5248AA" w14:textId="35691CF2" w:rsidR="00D26C7A" w:rsidRPr="00D26C7A" w:rsidRDefault="00D26C7A" w:rsidP="00D26C7A">
      <w:pPr>
        <w:spacing w:after="0" w:line="240" w:lineRule="auto"/>
        <w:rPr>
          <w:lang w:val="nb-NO"/>
        </w:rPr>
      </w:pPr>
      <w:r w:rsidRPr="00D26C7A">
        <w:rPr>
          <w:lang w:val="nb-NO"/>
        </w:rPr>
        <w:t>Wästbygg</w:t>
      </w:r>
      <w:r w:rsidR="00723339">
        <w:rPr>
          <w:lang w:val="nb-NO"/>
        </w:rPr>
        <w:t xml:space="preserve"> (Borås</w:t>
      </w:r>
      <w:r w:rsidR="0047791E">
        <w:rPr>
          <w:lang w:val="nb-NO"/>
        </w:rPr>
        <w:t>, SE</w:t>
      </w:r>
      <w:r w:rsidR="00723339">
        <w:rPr>
          <w:lang w:val="nb-NO"/>
        </w:rPr>
        <w:t>)</w:t>
      </w:r>
      <w:r w:rsidRPr="00D26C7A">
        <w:rPr>
          <w:lang w:val="nb-NO"/>
        </w:rPr>
        <w:tab/>
      </w:r>
    </w:p>
    <w:p w14:paraId="3BBA63D8" w14:textId="626AAE8D" w:rsidR="00D26C7A" w:rsidRPr="00671C4D" w:rsidRDefault="00D26C7A" w:rsidP="00D26C7A">
      <w:pPr>
        <w:spacing w:after="0" w:line="240" w:lineRule="auto"/>
        <w:rPr>
          <w:lang w:val="nb-NO"/>
        </w:rPr>
      </w:pPr>
      <w:r w:rsidRPr="00671C4D">
        <w:rPr>
          <w:lang w:val="nb-NO"/>
        </w:rPr>
        <w:t>Ratos/</w:t>
      </w:r>
      <w:r w:rsidR="00D206DE" w:rsidRPr="00671C4D">
        <w:rPr>
          <w:lang w:val="nb-NO"/>
        </w:rPr>
        <w:t>SSEA AB (</w:t>
      </w:r>
      <w:r w:rsidRPr="00671C4D">
        <w:rPr>
          <w:lang w:val="nb-NO"/>
        </w:rPr>
        <w:t>Hent/Vestia</w:t>
      </w:r>
      <w:r w:rsidR="00D206DE" w:rsidRPr="00671C4D">
        <w:rPr>
          <w:lang w:val="nb-NO"/>
        </w:rPr>
        <w:t>)</w:t>
      </w:r>
      <w:r w:rsidR="008D18C2" w:rsidRPr="00671C4D">
        <w:rPr>
          <w:lang w:val="nb-NO"/>
        </w:rPr>
        <w:t xml:space="preserve"> (Stockholm) </w:t>
      </w:r>
      <w:r w:rsidRPr="00671C4D">
        <w:rPr>
          <w:lang w:val="nb-NO"/>
        </w:rPr>
        <w:tab/>
      </w:r>
    </w:p>
    <w:p w14:paraId="7895373F" w14:textId="34F29C85" w:rsidR="00D26C7A" w:rsidRPr="00671C4D" w:rsidRDefault="00D26C7A" w:rsidP="00D26C7A">
      <w:pPr>
        <w:spacing w:after="0" w:line="240" w:lineRule="auto"/>
        <w:rPr>
          <w:lang w:val="nb-NO"/>
        </w:rPr>
      </w:pPr>
      <w:r w:rsidRPr="00671C4D">
        <w:rPr>
          <w:lang w:val="nb-NO"/>
        </w:rPr>
        <w:t>MTH- Holding</w:t>
      </w:r>
      <w:r w:rsidR="0040460C">
        <w:rPr>
          <w:lang w:val="nb-NO"/>
        </w:rPr>
        <w:t xml:space="preserve"> </w:t>
      </w:r>
      <w:r w:rsidR="00302BAA" w:rsidRPr="00671C4D">
        <w:rPr>
          <w:lang w:val="nb-NO"/>
        </w:rPr>
        <w:t>(Søborg/DK)</w:t>
      </w:r>
      <w:r w:rsidRPr="00671C4D">
        <w:rPr>
          <w:lang w:val="nb-NO"/>
        </w:rPr>
        <w:tab/>
      </w:r>
    </w:p>
    <w:p w14:paraId="0F756DAA" w14:textId="5FCDD861" w:rsidR="00D26C7A" w:rsidRPr="00DE14A5" w:rsidRDefault="00D26C7A" w:rsidP="00D26C7A">
      <w:pPr>
        <w:spacing w:after="0" w:line="240" w:lineRule="auto"/>
      </w:pPr>
      <w:r w:rsidRPr="00DE14A5">
        <w:t>MTH international</w:t>
      </w:r>
      <w:r w:rsidR="00302BAA" w:rsidRPr="00DE14A5">
        <w:t xml:space="preserve"> (Søborg /DK)</w:t>
      </w:r>
    </w:p>
    <w:p w14:paraId="1D4021AF" w14:textId="4AFA4348" w:rsidR="00A302BD" w:rsidRPr="00DE14A5" w:rsidRDefault="00A302BD" w:rsidP="00857E95"/>
    <w:p w14:paraId="571FCAAB" w14:textId="77777777" w:rsidR="0063003F" w:rsidRPr="00B4433F" w:rsidRDefault="0063003F" w:rsidP="0063003F">
      <w:pPr>
        <w:rPr>
          <w:b/>
          <w:bCs/>
        </w:rPr>
      </w:pPr>
      <w:r w:rsidRPr="00B4433F">
        <w:rPr>
          <w:b/>
          <w:bCs/>
        </w:rPr>
        <w:t>IT leverandører af digital støtte til Taxonomien</w:t>
      </w:r>
      <w:r>
        <w:rPr>
          <w:b/>
          <w:bCs/>
        </w:rPr>
        <w:t xml:space="preserve"> (SE og DK)</w:t>
      </w:r>
    </w:p>
    <w:p w14:paraId="79AEEC71" w14:textId="77777777" w:rsidR="0063003F" w:rsidRPr="00BB1A88" w:rsidRDefault="0063003F" w:rsidP="0063003F">
      <w:r>
        <w:t>Ecobio, Ecobiomanager (interview og møde 27 januar 2022)</w:t>
      </w:r>
    </w:p>
    <w:p w14:paraId="46B1A196" w14:textId="77777777" w:rsidR="0063003F" w:rsidRPr="007341FD" w:rsidRDefault="0063003F" w:rsidP="0063003F">
      <w:pPr>
        <w:rPr>
          <w:lang w:val="en-GB"/>
        </w:rPr>
      </w:pPr>
      <w:r w:rsidRPr="007341FD">
        <w:rPr>
          <w:lang w:val="en-GB"/>
        </w:rPr>
        <w:t>Greenomy (desk studie)</w:t>
      </w:r>
    </w:p>
    <w:p w14:paraId="2790DF1F" w14:textId="77777777" w:rsidR="0063003F" w:rsidRPr="007341FD" w:rsidRDefault="0063003F" w:rsidP="0063003F">
      <w:pPr>
        <w:rPr>
          <w:lang w:val="en-GB"/>
        </w:rPr>
      </w:pPr>
      <w:r w:rsidRPr="007341FD">
        <w:rPr>
          <w:lang w:val="en-GB"/>
        </w:rPr>
        <w:t>Sustainalytics (d</w:t>
      </w:r>
      <w:r>
        <w:rPr>
          <w:lang w:val="en-GB"/>
        </w:rPr>
        <w:t>esk studie)</w:t>
      </w:r>
    </w:p>
    <w:p w14:paraId="0BAABCF1" w14:textId="1655C98A" w:rsidR="0063003F" w:rsidRPr="00DE14A5" w:rsidRDefault="0063003F" w:rsidP="00857E95">
      <w:pPr>
        <w:rPr>
          <w:lang w:val="en-GB"/>
        </w:rPr>
      </w:pPr>
    </w:p>
    <w:p w14:paraId="74216389" w14:textId="77777777" w:rsidR="0063003F" w:rsidRPr="00DE14A5" w:rsidRDefault="0063003F" w:rsidP="00857E95">
      <w:pPr>
        <w:rPr>
          <w:lang w:val="en-GB"/>
        </w:rPr>
      </w:pPr>
    </w:p>
    <w:p w14:paraId="439FB335" w14:textId="5D353730" w:rsidR="008A00D4" w:rsidRPr="002548D2" w:rsidRDefault="008A00D4" w:rsidP="00DE14A5">
      <w:pPr>
        <w:pStyle w:val="Overskrift2"/>
        <w:rPr>
          <w:b/>
          <w:bCs/>
        </w:rPr>
      </w:pPr>
      <w:bookmarkStart w:id="33" w:name="_Toc112184366"/>
      <w:r w:rsidRPr="002548D2">
        <w:rPr>
          <w:b/>
          <w:bCs/>
          <w:sz w:val="28"/>
          <w:szCs w:val="28"/>
        </w:rPr>
        <w:t>Danmark</w:t>
      </w:r>
      <w:bookmarkEnd w:id="33"/>
      <w:r w:rsidRPr="002548D2">
        <w:rPr>
          <w:b/>
          <w:bCs/>
        </w:rPr>
        <w:t xml:space="preserve"> </w:t>
      </w:r>
    </w:p>
    <w:p w14:paraId="60AAE07A" w14:textId="36FDE202" w:rsidR="008A00D4" w:rsidRPr="002548D2" w:rsidRDefault="008A00D4" w:rsidP="008A00D4">
      <w:r w:rsidRPr="002548D2">
        <w:t xml:space="preserve">Kommuner </w:t>
      </w:r>
    </w:p>
    <w:p w14:paraId="44D424EB" w14:textId="4908D08C" w:rsidR="00904871" w:rsidRPr="002548D2" w:rsidRDefault="00904871" w:rsidP="008A00D4">
      <w:r w:rsidRPr="002548D2">
        <w:t>Skive, Herning, Århus, Holstebro, Gladsaxe og Sønderborg kommuner</w:t>
      </w:r>
    </w:p>
    <w:p w14:paraId="7D3649F4" w14:textId="77777777" w:rsidR="00BC1BCD" w:rsidRPr="002548D2" w:rsidRDefault="00BC1BCD" w:rsidP="008A00D4"/>
    <w:p w14:paraId="16729B90" w14:textId="7ECC4314" w:rsidR="008A00D4" w:rsidRPr="002548D2" w:rsidRDefault="008A00D4" w:rsidP="008A00D4">
      <w:pPr>
        <w:rPr>
          <w:b/>
          <w:bCs/>
        </w:rPr>
      </w:pPr>
      <w:r w:rsidRPr="002548D2">
        <w:t>Dokumentation om erhvervsfremme strategi</w:t>
      </w:r>
    </w:p>
    <w:p w14:paraId="45C6A4BA" w14:textId="39EC3D71" w:rsidR="008A00D4" w:rsidRPr="002548D2" w:rsidRDefault="00904871" w:rsidP="008A00D4">
      <w:r w:rsidRPr="002548D2">
        <w:t>Interview med Skive, Herning, Århus, Holstebro</w:t>
      </w:r>
      <w:r w:rsidR="008A00D4" w:rsidRPr="002548D2">
        <w:t xml:space="preserve"> </w:t>
      </w:r>
      <w:r w:rsidRPr="002548D2">
        <w:t>kommuner</w:t>
      </w:r>
    </w:p>
    <w:p w14:paraId="15752837" w14:textId="4E967F93" w:rsidR="00904871" w:rsidRPr="00A746EF" w:rsidRDefault="00BC1BCD" w:rsidP="00B703EE">
      <w:pPr>
        <w:tabs>
          <w:tab w:val="left" w:pos="3568"/>
        </w:tabs>
      </w:pPr>
      <w:r w:rsidRPr="00A746EF">
        <w:t xml:space="preserve">Møde afholdt : </w:t>
      </w:r>
      <w:r w:rsidR="00B703EE" w:rsidRPr="00A746EF">
        <w:tab/>
      </w:r>
    </w:p>
    <w:p w14:paraId="12A6E5C2" w14:textId="5DF393E3" w:rsidR="0011131C" w:rsidRDefault="0011131C" w:rsidP="0011131C">
      <w:r>
        <w:t>Dokumentation om bæredygtighedsstrategi</w:t>
      </w:r>
      <w:r w:rsidR="0040460C">
        <w:t xml:space="preserve"> </w:t>
      </w:r>
      <w:r>
        <w:t>(Sønderborg, Gladsaxe)</w:t>
      </w:r>
    </w:p>
    <w:p w14:paraId="3DD345DD" w14:textId="6D737C63" w:rsidR="00904871" w:rsidRDefault="00904871" w:rsidP="008A00D4"/>
    <w:p w14:paraId="0277DA88" w14:textId="4B073619" w:rsidR="00F0019F" w:rsidRDefault="00F0019F" w:rsidP="008A00D4"/>
    <w:p w14:paraId="6EB33ABE" w14:textId="77777777" w:rsidR="00F0019F" w:rsidRDefault="00F0019F" w:rsidP="008A00D4"/>
    <w:p w14:paraId="70AA3CFF" w14:textId="4A947EDA" w:rsidR="008A00D4" w:rsidRDefault="008A00D4" w:rsidP="008A00D4">
      <w:r>
        <w:t>Virksomhedsinterview</w:t>
      </w:r>
    </w:p>
    <w:p w14:paraId="7B15E301" w14:textId="7B567FED" w:rsidR="00B703EE" w:rsidRDefault="00B703EE" w:rsidP="008A00D4">
      <w:r>
        <w:t>Banker:</w:t>
      </w:r>
    </w:p>
    <w:p w14:paraId="3B94DE25" w14:textId="503AD050" w:rsidR="00B703EE" w:rsidRDefault="008D7EE2" w:rsidP="008A00D4">
      <w:r w:rsidRPr="008D7EE2">
        <w:t>Ringkjøbing Landbobank</w:t>
      </w:r>
    </w:p>
    <w:p w14:paraId="094E584A" w14:textId="6ECD0356" w:rsidR="00B703EE" w:rsidRDefault="00B703EE" w:rsidP="008A00D4">
      <w:r>
        <w:t xml:space="preserve">Skjern Bank </w:t>
      </w:r>
    </w:p>
    <w:p w14:paraId="2CC1AA3D" w14:textId="0ED1AC37" w:rsidR="008A00D4" w:rsidRDefault="008A00D4" w:rsidP="008A00D4">
      <w:r>
        <w:t>Virksomheder undersøgt med Ringkøbings Erhvervsråds Virksomhedspanel</w:t>
      </w:r>
    </w:p>
    <w:p w14:paraId="485A0627" w14:textId="32359A0D" w:rsidR="008A00D4" w:rsidRDefault="000154F0" w:rsidP="008A00D4">
      <w:r>
        <w:t xml:space="preserve">Survey, </w:t>
      </w:r>
      <w:r w:rsidR="008A00D4">
        <w:t>kvantitativ</w:t>
      </w:r>
      <w:r w:rsidR="0040460C">
        <w:t xml:space="preserve"> </w:t>
      </w:r>
      <w:r w:rsidR="008A00D4">
        <w:t xml:space="preserve">undersøgelse </w:t>
      </w:r>
      <w:r w:rsidR="00F0019F">
        <w:t>: 116 besvarelser, 44 sekundær produktion (største svargruppe) : produktion, bygge- og anlæg, transport- og godshåndtering</w:t>
      </w:r>
    </w:p>
    <w:p w14:paraId="294EBD2F" w14:textId="77777777" w:rsidR="008A00D4" w:rsidRDefault="008A00D4" w:rsidP="008A00D4"/>
    <w:p w14:paraId="7605198D" w14:textId="77777777" w:rsidR="008A00D4" w:rsidRDefault="008A00D4" w:rsidP="008A00D4"/>
    <w:p w14:paraId="16138EB9" w14:textId="2B952E70" w:rsidR="008A00D4" w:rsidRDefault="008A00D4" w:rsidP="008A00D4">
      <w:r>
        <w:t>Virksomheder unders</w:t>
      </w:r>
      <w:r w:rsidR="00DB0AE8">
        <w:t>ø</w:t>
      </w:r>
      <w:r>
        <w:t xml:space="preserve">gt med deskstudie </w:t>
      </w:r>
    </w:p>
    <w:p w14:paraId="15234E57" w14:textId="55C06E0D" w:rsidR="00DB0AE8" w:rsidRDefault="00DB0AE8" w:rsidP="00DB0AE8">
      <w:r>
        <w:t xml:space="preserve">Deskstudiet af virksomheder omfatter især årsrapporter, ,men også anden dokumenbta hjemmesider mm). </w:t>
      </w:r>
    </w:p>
    <w:p w14:paraId="0681164F" w14:textId="04EEE50D" w:rsidR="00DB0AE8" w:rsidRDefault="00DB0AE8" w:rsidP="00DB0AE8">
      <w:r>
        <w:t>De er udvalgt udfra uafhængige observatører af markedets vurdering af hvilke selskaber i de enkelte delbrancher der er de største (Banker (REF 12) Ejendomsselskaber (Estate 2022), Entreprenører (REF34), Rådgivende Ingeniører (og arkitekter) (Innovationsf</w:t>
      </w:r>
      <w:r w:rsidRPr="00317BF8">
        <w:t>ö</w:t>
      </w:r>
      <w:r>
        <w:t xml:space="preserve">retagen 2019)). Derudover har der været søgt efter links imellem de forskellige firmatyper, som i nogen tilfælde har givet anledning til at inkludere ekstra virksomheder. </w:t>
      </w:r>
    </w:p>
    <w:p w14:paraId="214178BE" w14:textId="4D63BC9D" w:rsidR="00DB0AE8" w:rsidRPr="00DB0AE8" w:rsidRDefault="00DB0AE8" w:rsidP="00DB0AE8">
      <w:pPr>
        <w:rPr>
          <w:rFonts w:cstheme="minorHAnsi"/>
          <w:sz w:val="24"/>
          <w:szCs w:val="24"/>
        </w:rPr>
      </w:pPr>
      <w:r>
        <w:t xml:space="preserve"> I mange tilfælde er disse selskaber landsdækkende og i nogen tilfælde internationalt opererende. Deres aktiviteter i de respektive regionale områder er blevet kortlagt, udfra den præmis at deres betydning for den regionale udvikling er i synergi med en bredere tilstedeværelse.</w:t>
      </w:r>
      <w:r w:rsidR="0040460C">
        <w:t xml:space="preserve"> </w:t>
      </w:r>
      <w:r>
        <w:t xml:space="preserve">Med henblik på deltagelse i et eventuelt fremtidigt er hovedsædet kortlagt og angivet nedenfor. </w:t>
      </w:r>
      <w:r w:rsidRPr="00DB0AE8">
        <w:t xml:space="preserve">Interreg programmet KASK </w:t>
      </w:r>
      <w:r w:rsidRPr="00DB0AE8">
        <w:rPr>
          <w:rFonts w:cstheme="minorHAnsi"/>
          <w:sz w:val="24"/>
          <w:szCs w:val="24"/>
        </w:rPr>
        <w:t xml:space="preserve">dækker </w:t>
      </w:r>
      <w:r w:rsidRPr="00DB0AE8">
        <w:rPr>
          <w:rFonts w:cstheme="minorHAnsi"/>
          <w:color w:val="222222"/>
        </w:rPr>
        <w:t xml:space="preserve">regionerne </w:t>
      </w:r>
      <w:r w:rsidRPr="00DB0AE8">
        <w:rPr>
          <w:rFonts w:cs="Arial"/>
          <w:color w:val="222222"/>
          <w:sz w:val="21"/>
          <w:szCs w:val="21"/>
        </w:rPr>
        <w:t>Midtjylland og Nordjylland</w:t>
      </w:r>
      <w:r>
        <w:rPr>
          <w:rFonts w:cs="Arial"/>
          <w:color w:val="222222"/>
          <w:sz w:val="21"/>
          <w:szCs w:val="21"/>
        </w:rPr>
        <w:t xml:space="preserve"> (Interreg 2022)</w:t>
      </w:r>
    </w:p>
    <w:p w14:paraId="61C61C7D" w14:textId="083FD5EF" w:rsidR="00DB0AE8" w:rsidRDefault="00DB0AE8" w:rsidP="008A00D4"/>
    <w:p w14:paraId="13FEE23B" w14:textId="3439B1F3" w:rsidR="00DB0AE8" w:rsidRDefault="00DB0AE8" w:rsidP="008A00D4"/>
    <w:p w14:paraId="246C79D1" w14:textId="708A05CA" w:rsidR="00DB0AE8" w:rsidRDefault="00DB0AE8" w:rsidP="008A00D4"/>
    <w:p w14:paraId="7A0CFF6E" w14:textId="5FB01246" w:rsidR="00DB0AE8" w:rsidRDefault="00DB0AE8" w:rsidP="008A00D4"/>
    <w:p w14:paraId="00B9F641" w14:textId="77777777" w:rsidR="00DB0AE8" w:rsidRDefault="00DB0AE8" w:rsidP="008A00D4"/>
    <w:p w14:paraId="075710B3" w14:textId="485D2933" w:rsidR="008A00D4" w:rsidRPr="009463C1" w:rsidRDefault="006263EA" w:rsidP="008A00D4">
      <w:r w:rsidRPr="009463C1">
        <w:t xml:space="preserve">Danske Bank </w:t>
      </w:r>
    </w:p>
    <w:p w14:paraId="7C4C8BF6" w14:textId="6FB0B54F" w:rsidR="00B703EE" w:rsidRPr="00B703EE" w:rsidRDefault="00B703EE" w:rsidP="008A00D4">
      <w:r w:rsidRPr="00B703EE">
        <w:t>Jyske Bank</w:t>
      </w:r>
    </w:p>
    <w:p w14:paraId="2318069A" w14:textId="0A9FD2C6" w:rsidR="006263EA" w:rsidRPr="00671C4D" w:rsidRDefault="006263EA" w:rsidP="008A00D4">
      <w:r w:rsidRPr="00671C4D">
        <w:t>Ørsted</w:t>
      </w:r>
    </w:p>
    <w:p w14:paraId="4035C0D2" w14:textId="404ADA8B" w:rsidR="006263EA" w:rsidRPr="00671C4D" w:rsidRDefault="006263EA" w:rsidP="006263EA">
      <w:r w:rsidRPr="00671C4D">
        <w:t>COWI/ Arkitema</w:t>
      </w:r>
      <w:r w:rsidR="003D2AAC" w:rsidRPr="00671C4D">
        <w:t xml:space="preserve"> (Lyngby DK)</w:t>
      </w:r>
    </w:p>
    <w:p w14:paraId="6932FBF2" w14:textId="0647AF5A" w:rsidR="006263EA" w:rsidRPr="003D2AAC" w:rsidRDefault="006263EA" w:rsidP="006263EA">
      <w:r w:rsidRPr="00671C4D">
        <w:t>Rambøll/ Henning Larsen</w:t>
      </w:r>
      <w:r w:rsidR="0040460C">
        <w:t xml:space="preserve"> </w:t>
      </w:r>
      <w:r w:rsidR="003D2AAC" w:rsidRPr="00671C4D">
        <w:t>(K</w:t>
      </w:r>
      <w:r w:rsidR="003D2AAC">
        <w:t>øbenhavn DK)</w:t>
      </w:r>
    </w:p>
    <w:p w14:paraId="63F873F0" w14:textId="793CCC74" w:rsidR="006263EA" w:rsidRPr="00671C4D" w:rsidRDefault="006263EA" w:rsidP="006263EA">
      <w:r w:rsidRPr="00671C4D">
        <w:t>Sanistål</w:t>
      </w:r>
    </w:p>
    <w:p w14:paraId="4D84B626" w14:textId="53C7238D" w:rsidR="006263EA" w:rsidRPr="00671C4D" w:rsidRDefault="006263EA" w:rsidP="006263EA">
      <w:r w:rsidRPr="00671C4D">
        <w:t>Stark</w:t>
      </w:r>
    </w:p>
    <w:p w14:paraId="774CA239" w14:textId="3718BBC2" w:rsidR="006263EA" w:rsidRPr="00671C4D" w:rsidRDefault="006263EA" w:rsidP="006263EA">
      <w:r w:rsidRPr="00671C4D">
        <w:t>Bygma</w:t>
      </w:r>
    </w:p>
    <w:p w14:paraId="51F85D6A" w14:textId="39C77BC4" w:rsidR="006263EA" w:rsidRPr="00671C4D" w:rsidRDefault="006263EA" w:rsidP="006263EA">
      <w:r w:rsidRPr="00671C4D">
        <w:t>Kemp og lauritsen</w:t>
      </w:r>
    </w:p>
    <w:p w14:paraId="40249D53" w14:textId="24417714" w:rsidR="006263EA" w:rsidRPr="002548D2" w:rsidRDefault="006263EA" w:rsidP="006263EA">
      <w:pPr>
        <w:rPr>
          <w:lang w:val="en-US"/>
        </w:rPr>
      </w:pPr>
      <w:r w:rsidRPr="002548D2">
        <w:rPr>
          <w:lang w:val="en-US"/>
        </w:rPr>
        <w:t>Caverion</w:t>
      </w:r>
    </w:p>
    <w:p w14:paraId="57B44F9E" w14:textId="5C05A71D" w:rsidR="006263EA" w:rsidRPr="00671C4D" w:rsidRDefault="006263EA" w:rsidP="006263EA">
      <w:pPr>
        <w:rPr>
          <w:lang w:val="sv-SE"/>
        </w:rPr>
      </w:pPr>
      <w:r w:rsidRPr="00671C4D">
        <w:rPr>
          <w:lang w:val="sv-SE"/>
        </w:rPr>
        <w:t>MTH</w:t>
      </w:r>
    </w:p>
    <w:p w14:paraId="3B5F51C4" w14:textId="04F16CFF" w:rsidR="006263EA" w:rsidRPr="00671C4D" w:rsidRDefault="006263EA" w:rsidP="006263EA">
      <w:pPr>
        <w:rPr>
          <w:lang w:val="sv-SE"/>
        </w:rPr>
      </w:pPr>
      <w:r w:rsidRPr="00671C4D">
        <w:rPr>
          <w:lang w:val="sv-SE"/>
        </w:rPr>
        <w:t>NCC</w:t>
      </w:r>
    </w:p>
    <w:p w14:paraId="52D09F39" w14:textId="3EF4A86E" w:rsidR="006263EA" w:rsidRPr="00671C4D" w:rsidRDefault="006263EA" w:rsidP="006263EA">
      <w:pPr>
        <w:rPr>
          <w:lang w:val="sv-SE"/>
        </w:rPr>
      </w:pPr>
      <w:r w:rsidRPr="00671C4D">
        <w:rPr>
          <w:lang w:val="sv-SE"/>
        </w:rPr>
        <w:t>NREP</w:t>
      </w:r>
    </w:p>
    <w:p w14:paraId="28793170" w14:textId="34E4DAE8" w:rsidR="006263EA" w:rsidRPr="00671C4D" w:rsidRDefault="006263EA" w:rsidP="006263EA">
      <w:pPr>
        <w:rPr>
          <w:lang w:val="sv-SE"/>
        </w:rPr>
      </w:pPr>
      <w:r w:rsidRPr="00671C4D">
        <w:rPr>
          <w:lang w:val="sv-SE"/>
        </w:rPr>
        <w:t>DEAS</w:t>
      </w:r>
    </w:p>
    <w:p w14:paraId="4C6A6676" w14:textId="7F19E3EB" w:rsidR="006263EA" w:rsidRPr="00671C4D" w:rsidRDefault="006263EA" w:rsidP="006263EA">
      <w:pPr>
        <w:rPr>
          <w:lang w:val="sv-SE"/>
        </w:rPr>
      </w:pPr>
      <w:r w:rsidRPr="00671C4D">
        <w:rPr>
          <w:lang w:val="sv-SE"/>
        </w:rPr>
        <w:t>Dades</w:t>
      </w:r>
    </w:p>
    <w:p w14:paraId="28E98F5D" w14:textId="67F4B825" w:rsidR="006263EA" w:rsidRPr="00671C4D" w:rsidRDefault="006263EA" w:rsidP="006263EA">
      <w:pPr>
        <w:rPr>
          <w:lang w:val="sv-SE"/>
        </w:rPr>
      </w:pPr>
      <w:r w:rsidRPr="00671C4D">
        <w:rPr>
          <w:lang w:val="sv-SE"/>
        </w:rPr>
        <w:t>Heimstaden</w:t>
      </w:r>
    </w:p>
    <w:p w14:paraId="32284D10" w14:textId="232DBC1A" w:rsidR="008A00D4" w:rsidRPr="00671C4D" w:rsidRDefault="006263EA" w:rsidP="006263EA">
      <w:pPr>
        <w:rPr>
          <w:lang w:val="sv-SE"/>
        </w:rPr>
      </w:pPr>
      <w:r w:rsidRPr="00671C4D">
        <w:rPr>
          <w:lang w:val="sv-SE"/>
        </w:rPr>
        <w:t>PensionDanmark</w:t>
      </w:r>
    </w:p>
    <w:p w14:paraId="781E75F2" w14:textId="77777777" w:rsidR="008A00D4" w:rsidRPr="00671C4D" w:rsidRDefault="008A00D4" w:rsidP="00857E95">
      <w:pPr>
        <w:rPr>
          <w:lang w:val="sv-SE"/>
        </w:rPr>
      </w:pPr>
    </w:p>
    <w:p w14:paraId="0A682EEA" w14:textId="35EC91EE" w:rsidR="007E1147" w:rsidRPr="005B1AC3" w:rsidRDefault="007E1147" w:rsidP="005B1AC3">
      <w:pPr>
        <w:spacing w:after="0" w:line="240" w:lineRule="auto"/>
        <w:rPr>
          <w:lang w:val="sv-SE"/>
        </w:rPr>
      </w:pPr>
    </w:p>
    <w:sectPr w:rsidR="007E1147" w:rsidRPr="005B1AC3" w:rsidSect="003E6C6B">
      <w:footerReference w:type="default" r:id="rId16"/>
      <w:pgSz w:w="11906" w:h="16838"/>
      <w:pgMar w:top="1418" w:right="1134" w:bottom="155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CFFE" w14:textId="77777777" w:rsidR="002D296F" w:rsidRDefault="002D296F" w:rsidP="00331F68">
      <w:pPr>
        <w:spacing w:after="0" w:line="240" w:lineRule="auto"/>
      </w:pPr>
      <w:r>
        <w:separator/>
      </w:r>
    </w:p>
  </w:endnote>
  <w:endnote w:type="continuationSeparator" w:id="0">
    <w:p w14:paraId="0789C031" w14:textId="77777777" w:rsidR="002D296F" w:rsidRDefault="002D296F" w:rsidP="0033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Semibold">
    <w:altName w:val="Calibri"/>
    <w:panose1 w:val="00000000000000000000"/>
    <w:charset w:val="00"/>
    <w:family w:val="swiss"/>
    <w:notTrueType/>
    <w:pitch w:val="default"/>
    <w:sig w:usb0="00000003" w:usb1="00000000" w:usb2="00000000" w:usb3="00000000" w:csb0="00000001" w:csb1="00000000"/>
  </w:font>
  <w:font w:name="Whitney-Light">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Gotham-Ultra">
    <w:altName w:val="Calibri"/>
    <w:panose1 w:val="00000000000000000000"/>
    <w:charset w:val="00"/>
    <w:family w:val="swiss"/>
    <w:notTrueType/>
    <w:pitch w:val="default"/>
    <w:sig w:usb0="00000003" w:usb1="00000000" w:usb2="00000000" w:usb3="00000000" w:csb0="00000001" w:csb1="00000000"/>
  </w:font>
  <w:font w:name="Gotham-Book">
    <w:altName w:val="Malgun Gothic"/>
    <w:panose1 w:val="00000000000000000000"/>
    <w:charset w:val="00"/>
    <w:family w:val="swiss"/>
    <w:notTrueType/>
    <w:pitch w:val="default"/>
    <w:sig w:usb0="00000003" w:usb1="09060000" w:usb2="00000010" w:usb3="00000000" w:csb0="00080001" w:csb1="00000000"/>
  </w:font>
  <w:font w:name="ArialUnicodeMS">
    <w:altName w:val="Arial"/>
    <w:panose1 w:val="00000000000000000000"/>
    <w:charset w:val="00"/>
    <w:family w:val="auto"/>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69618"/>
      <w:docPartObj>
        <w:docPartGallery w:val="Page Numbers (Bottom of Page)"/>
        <w:docPartUnique/>
      </w:docPartObj>
    </w:sdtPr>
    <w:sdtEndPr>
      <w:rPr>
        <w:noProof/>
      </w:rPr>
    </w:sdtEndPr>
    <w:sdtContent>
      <w:p w14:paraId="3C7E54BB" w14:textId="20CE3E91" w:rsidR="002D296F" w:rsidRDefault="002D296F">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1D639A81" w14:textId="77777777" w:rsidR="002D296F" w:rsidRDefault="002D29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C114" w14:textId="77777777" w:rsidR="002D296F" w:rsidRDefault="002D296F" w:rsidP="00331F68">
      <w:pPr>
        <w:spacing w:after="0" w:line="240" w:lineRule="auto"/>
      </w:pPr>
      <w:r>
        <w:separator/>
      </w:r>
    </w:p>
  </w:footnote>
  <w:footnote w:type="continuationSeparator" w:id="0">
    <w:p w14:paraId="08027DF7" w14:textId="77777777" w:rsidR="002D296F" w:rsidRDefault="002D296F" w:rsidP="00331F68">
      <w:pPr>
        <w:spacing w:after="0" w:line="240" w:lineRule="auto"/>
      </w:pPr>
      <w:r>
        <w:continuationSeparator/>
      </w:r>
    </w:p>
  </w:footnote>
  <w:footnote w:id="1">
    <w:p w14:paraId="7643CA6F" w14:textId="54C4484A" w:rsidR="002D296F" w:rsidRDefault="002D296F">
      <w:pPr>
        <w:pStyle w:val="Fodnotetekst"/>
      </w:pPr>
      <w:r>
        <w:rPr>
          <w:rStyle w:val="Fodnotehenvisning"/>
        </w:rPr>
        <w:footnoteRef/>
      </w:r>
      <w:r>
        <w:t xml:space="preserve"> Ordet ’taksonomi’ er det ord en række fagdiscipliner bruger for deres metode til at kategorisere objekter i deres fagfelt. Biologer bruger for eksempel ordet taksonomi om deres metode til at kategorisere dyr og planter. ”taksonomi” anvendes af flere professioner synonymt med klassifikation.</w:t>
      </w:r>
    </w:p>
  </w:footnote>
  <w:footnote w:id="2">
    <w:p w14:paraId="133853F0" w14:textId="09427732" w:rsidR="002D296F" w:rsidRDefault="002D296F" w:rsidP="00DE14A5">
      <w:r>
        <w:rPr>
          <w:rStyle w:val="Fodnotehenvisning"/>
        </w:rPr>
        <w:footnoteRef/>
      </w:r>
      <w:r>
        <w:t>FORORDNING (EU) 2020/852 af 18. juni 2020 om fastlæggelse af en ramme til fremme af bæredygtige investeringer </w:t>
      </w:r>
    </w:p>
    <w:p w14:paraId="3A178B4D" w14:textId="19D98BFA" w:rsidR="002D296F" w:rsidRDefault="002D296F" w:rsidP="00DE14A5">
      <w:r>
        <w:t xml:space="preserve"> </w:t>
      </w:r>
      <w:r w:rsidRPr="00050EB9">
        <w:t>https://eur-lex.europa.eu/legal-content/DA/TXT/HTML/?uri=CELEX:32020R0852&amp;from=EN</w:t>
      </w:r>
    </w:p>
  </w:footnote>
  <w:footnote w:id="3">
    <w:p w14:paraId="0F71E0C5" w14:textId="2E6D3024" w:rsidR="002D296F" w:rsidRPr="00DE14A5" w:rsidRDefault="002D296F">
      <w:pPr>
        <w:autoSpaceDE w:val="0"/>
        <w:autoSpaceDN w:val="0"/>
        <w:adjustRightInd w:val="0"/>
        <w:spacing w:after="0" w:line="240" w:lineRule="auto"/>
        <w:rPr>
          <w:rFonts w:ascii="ArialUnicodeMS" w:hAnsi="ArialUnicodeMS" w:cs="ArialUnicodeMS"/>
          <w:sz w:val="20"/>
          <w:szCs w:val="20"/>
          <w:lang w:val="en-US" w:eastAsia="da-DK"/>
        </w:rPr>
      </w:pPr>
      <w:r>
        <w:rPr>
          <w:rStyle w:val="Fodnotehenvisning"/>
        </w:rPr>
        <w:footnoteRef/>
      </w:r>
      <w:r w:rsidRPr="00DE14A5">
        <w:rPr>
          <w:rFonts w:ascii="OpenSans-Semibold" w:hAnsi="OpenSans-Semibold" w:cs="OpenSans-Semibold"/>
          <w:sz w:val="20"/>
          <w:szCs w:val="20"/>
          <w:lang w:val="en-US" w:eastAsia="da-DK"/>
        </w:rPr>
        <w:t xml:space="preserve"> </w:t>
      </w:r>
      <w:r w:rsidRPr="00DE14A5">
        <w:rPr>
          <w:rFonts w:ascii="ArialUnicodeMS" w:hAnsi="ArialUnicodeMS" w:cs="ArialUnicodeMS"/>
          <w:sz w:val="20"/>
          <w:szCs w:val="20"/>
          <w:lang w:val="en-US" w:eastAsia="da-DK"/>
        </w:rPr>
        <w:t>Franziska Schütze &amp; Jan Stede (2021): The EU sustainable finance taxonomy</w:t>
      </w:r>
    </w:p>
    <w:p w14:paraId="1EC88BDB" w14:textId="455E9E07" w:rsidR="002D296F" w:rsidRPr="00DE14A5" w:rsidRDefault="002D296F" w:rsidP="006A265C">
      <w:pPr>
        <w:autoSpaceDE w:val="0"/>
        <w:autoSpaceDN w:val="0"/>
        <w:adjustRightInd w:val="0"/>
        <w:spacing w:after="0" w:line="240" w:lineRule="auto"/>
        <w:rPr>
          <w:rStyle w:val="Hyperlink"/>
          <w:lang w:val="en-US"/>
        </w:rPr>
      </w:pPr>
      <w:r w:rsidRPr="00DE14A5">
        <w:rPr>
          <w:rFonts w:ascii="ArialUnicodeMS" w:hAnsi="ArialUnicodeMS" w:cs="ArialUnicodeMS"/>
          <w:sz w:val="20"/>
          <w:szCs w:val="20"/>
          <w:lang w:val="en-US" w:eastAsia="da-DK"/>
        </w:rPr>
        <w:t xml:space="preserve">and its contribution to climate neutrality, Journal of Sustainable Finance &amp; Investment, </w:t>
      </w:r>
      <w:r>
        <w:rPr>
          <w:rFonts w:ascii="ArialUnicodeMS" w:hAnsi="ArialUnicodeMS" w:cs="ArialUnicodeMS"/>
          <w:sz w:val="20"/>
          <w:szCs w:val="20"/>
          <w:lang w:val="en-US" w:eastAsia="da-DK"/>
        </w:rPr>
        <w:fldChar w:fldCharType="begin"/>
      </w:r>
      <w:r>
        <w:rPr>
          <w:rFonts w:ascii="ArialUnicodeMS" w:hAnsi="ArialUnicodeMS" w:cs="ArialUnicodeMS"/>
          <w:sz w:val="20"/>
          <w:szCs w:val="20"/>
          <w:lang w:val="en-US" w:eastAsia="da-DK"/>
        </w:rPr>
        <w:instrText xml:space="preserve"> HYPERLINK "https://doi.org/10.1080/20430795.2021.2006129" </w:instrText>
      </w:r>
      <w:r>
        <w:rPr>
          <w:rFonts w:ascii="ArialUnicodeMS" w:hAnsi="ArialUnicodeMS" w:cs="ArialUnicodeMS"/>
          <w:sz w:val="20"/>
          <w:szCs w:val="20"/>
          <w:lang w:val="en-US" w:eastAsia="da-DK"/>
        </w:rPr>
        <w:fldChar w:fldCharType="separate"/>
      </w:r>
      <w:r w:rsidRPr="00DE14A5">
        <w:rPr>
          <w:rStyle w:val="Hyperlink"/>
          <w:lang w:val="en-US"/>
        </w:rPr>
        <w:t>DOI:</w:t>
      </w:r>
    </w:p>
    <w:p w14:paraId="0EAA236F" w14:textId="4E9E599F" w:rsidR="002D296F" w:rsidRPr="002548D2" w:rsidRDefault="002D296F" w:rsidP="006A265C">
      <w:pPr>
        <w:autoSpaceDE w:val="0"/>
        <w:autoSpaceDN w:val="0"/>
        <w:adjustRightInd w:val="0"/>
        <w:spacing w:after="0" w:line="240" w:lineRule="auto"/>
        <w:rPr>
          <w:rFonts w:ascii="ArialUnicodeMS" w:hAnsi="ArialUnicodeMS" w:cs="ArialUnicodeMS"/>
          <w:sz w:val="20"/>
          <w:szCs w:val="20"/>
          <w:lang w:eastAsia="da-DK"/>
        </w:rPr>
      </w:pPr>
      <w:r w:rsidRPr="002548D2">
        <w:rPr>
          <w:rStyle w:val="Hyperlink"/>
          <w:rFonts w:ascii="ArialUnicodeMS" w:hAnsi="ArialUnicodeMS" w:cs="ArialUnicodeMS"/>
          <w:sz w:val="20"/>
          <w:szCs w:val="20"/>
          <w:lang w:eastAsia="da-DK"/>
        </w:rPr>
        <w:t>10.1080/20430795.2021.2006129</w:t>
      </w:r>
      <w:r>
        <w:rPr>
          <w:rFonts w:ascii="ArialUnicodeMS" w:hAnsi="ArialUnicodeMS" w:cs="ArialUnicodeMS"/>
          <w:sz w:val="20"/>
          <w:szCs w:val="20"/>
          <w:lang w:val="en-US" w:eastAsia="da-DK"/>
        </w:rPr>
        <w:fldChar w:fldCharType="end"/>
      </w:r>
    </w:p>
    <w:p w14:paraId="6EFBBCB5" w14:textId="74A4AC93" w:rsidR="002D296F" w:rsidRPr="002548D2" w:rsidRDefault="002D296F" w:rsidP="006A265C">
      <w:pPr>
        <w:pStyle w:val="Fodnotetekst"/>
      </w:pPr>
    </w:p>
  </w:footnote>
  <w:footnote w:id="4">
    <w:p w14:paraId="037016EE" w14:textId="6C2081BA" w:rsidR="002D296F" w:rsidRPr="002548D2" w:rsidRDefault="002D296F" w:rsidP="00FA38BC">
      <w:r>
        <w:rPr>
          <w:rStyle w:val="Fodnotehenvisning"/>
        </w:rPr>
        <w:footnoteRef/>
      </w:r>
      <w:r w:rsidRPr="002548D2">
        <w:t xml:space="preserve"> NFRD er en lovgivning, et EU-direktiv der har været i kraft i nogle år og fx i Danmark er implementeret via Årsregnskabsloven. I april 2021 fremlagde Europakommissionen forslag om en afløser - Corporate Sustainability Reporting Directive (CSRD) - som blandt andet referer eksplicit til taksonomien for ikke-finansielle virksomheder parallelt til at SDFR for finansielle virksomheder gør det. </w:t>
      </w:r>
    </w:p>
    <w:p w14:paraId="3D44147D" w14:textId="6D2D71B5" w:rsidR="002D296F" w:rsidRPr="002548D2" w:rsidRDefault="002D296F">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D4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B520BC"/>
    <w:multiLevelType w:val="hybridMultilevel"/>
    <w:tmpl w:val="FE00FCDA"/>
    <w:lvl w:ilvl="0" w:tplc="BEFC5F58">
      <w:start w:val="1"/>
      <w:numFmt w:val="bullet"/>
      <w:lvlText w:val="•"/>
      <w:lvlJc w:val="left"/>
      <w:pPr>
        <w:tabs>
          <w:tab w:val="num" w:pos="720"/>
        </w:tabs>
        <w:ind w:left="720" w:hanging="360"/>
      </w:pPr>
      <w:rPr>
        <w:rFonts w:ascii="Arial" w:hAnsi="Arial" w:hint="default"/>
      </w:rPr>
    </w:lvl>
    <w:lvl w:ilvl="1" w:tplc="0BDA0F62" w:tentative="1">
      <w:start w:val="1"/>
      <w:numFmt w:val="bullet"/>
      <w:lvlText w:val="•"/>
      <w:lvlJc w:val="left"/>
      <w:pPr>
        <w:tabs>
          <w:tab w:val="num" w:pos="1440"/>
        </w:tabs>
        <w:ind w:left="1440" w:hanging="360"/>
      </w:pPr>
      <w:rPr>
        <w:rFonts w:ascii="Arial" w:hAnsi="Arial" w:hint="default"/>
      </w:rPr>
    </w:lvl>
    <w:lvl w:ilvl="2" w:tplc="82B283E6" w:tentative="1">
      <w:start w:val="1"/>
      <w:numFmt w:val="bullet"/>
      <w:lvlText w:val="•"/>
      <w:lvlJc w:val="left"/>
      <w:pPr>
        <w:tabs>
          <w:tab w:val="num" w:pos="2160"/>
        </w:tabs>
        <w:ind w:left="2160" w:hanging="360"/>
      </w:pPr>
      <w:rPr>
        <w:rFonts w:ascii="Arial" w:hAnsi="Arial" w:hint="default"/>
      </w:rPr>
    </w:lvl>
    <w:lvl w:ilvl="3" w:tplc="8CFE7866" w:tentative="1">
      <w:start w:val="1"/>
      <w:numFmt w:val="bullet"/>
      <w:lvlText w:val="•"/>
      <w:lvlJc w:val="left"/>
      <w:pPr>
        <w:tabs>
          <w:tab w:val="num" w:pos="2880"/>
        </w:tabs>
        <w:ind w:left="2880" w:hanging="360"/>
      </w:pPr>
      <w:rPr>
        <w:rFonts w:ascii="Arial" w:hAnsi="Arial" w:hint="default"/>
      </w:rPr>
    </w:lvl>
    <w:lvl w:ilvl="4" w:tplc="7BCE1D40" w:tentative="1">
      <w:start w:val="1"/>
      <w:numFmt w:val="bullet"/>
      <w:lvlText w:val="•"/>
      <w:lvlJc w:val="left"/>
      <w:pPr>
        <w:tabs>
          <w:tab w:val="num" w:pos="3600"/>
        </w:tabs>
        <w:ind w:left="3600" w:hanging="360"/>
      </w:pPr>
      <w:rPr>
        <w:rFonts w:ascii="Arial" w:hAnsi="Arial" w:hint="default"/>
      </w:rPr>
    </w:lvl>
    <w:lvl w:ilvl="5" w:tplc="A19C5452" w:tentative="1">
      <w:start w:val="1"/>
      <w:numFmt w:val="bullet"/>
      <w:lvlText w:val="•"/>
      <w:lvlJc w:val="left"/>
      <w:pPr>
        <w:tabs>
          <w:tab w:val="num" w:pos="4320"/>
        </w:tabs>
        <w:ind w:left="4320" w:hanging="360"/>
      </w:pPr>
      <w:rPr>
        <w:rFonts w:ascii="Arial" w:hAnsi="Arial" w:hint="default"/>
      </w:rPr>
    </w:lvl>
    <w:lvl w:ilvl="6" w:tplc="3F3065D2" w:tentative="1">
      <w:start w:val="1"/>
      <w:numFmt w:val="bullet"/>
      <w:lvlText w:val="•"/>
      <w:lvlJc w:val="left"/>
      <w:pPr>
        <w:tabs>
          <w:tab w:val="num" w:pos="5040"/>
        </w:tabs>
        <w:ind w:left="5040" w:hanging="360"/>
      </w:pPr>
      <w:rPr>
        <w:rFonts w:ascii="Arial" w:hAnsi="Arial" w:hint="default"/>
      </w:rPr>
    </w:lvl>
    <w:lvl w:ilvl="7" w:tplc="8B1670A6" w:tentative="1">
      <w:start w:val="1"/>
      <w:numFmt w:val="bullet"/>
      <w:lvlText w:val="•"/>
      <w:lvlJc w:val="left"/>
      <w:pPr>
        <w:tabs>
          <w:tab w:val="num" w:pos="5760"/>
        </w:tabs>
        <w:ind w:left="5760" w:hanging="360"/>
      </w:pPr>
      <w:rPr>
        <w:rFonts w:ascii="Arial" w:hAnsi="Arial" w:hint="default"/>
      </w:rPr>
    </w:lvl>
    <w:lvl w:ilvl="8" w:tplc="25441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090A02"/>
    <w:multiLevelType w:val="hybridMultilevel"/>
    <w:tmpl w:val="5D0290DC"/>
    <w:lvl w:ilvl="0" w:tplc="B7B42112">
      <w:start w:val="1"/>
      <w:numFmt w:val="bullet"/>
      <w:lvlText w:val="•"/>
      <w:lvlJc w:val="left"/>
      <w:pPr>
        <w:tabs>
          <w:tab w:val="num" w:pos="720"/>
        </w:tabs>
        <w:ind w:left="720" w:hanging="360"/>
      </w:pPr>
      <w:rPr>
        <w:rFonts w:ascii="Arial" w:hAnsi="Arial" w:hint="default"/>
      </w:rPr>
    </w:lvl>
    <w:lvl w:ilvl="1" w:tplc="F2D43476" w:tentative="1">
      <w:start w:val="1"/>
      <w:numFmt w:val="bullet"/>
      <w:lvlText w:val="•"/>
      <w:lvlJc w:val="left"/>
      <w:pPr>
        <w:tabs>
          <w:tab w:val="num" w:pos="1440"/>
        </w:tabs>
        <w:ind w:left="1440" w:hanging="360"/>
      </w:pPr>
      <w:rPr>
        <w:rFonts w:ascii="Arial" w:hAnsi="Arial" w:hint="default"/>
      </w:rPr>
    </w:lvl>
    <w:lvl w:ilvl="2" w:tplc="E3A6FB16" w:tentative="1">
      <w:start w:val="1"/>
      <w:numFmt w:val="bullet"/>
      <w:lvlText w:val="•"/>
      <w:lvlJc w:val="left"/>
      <w:pPr>
        <w:tabs>
          <w:tab w:val="num" w:pos="2160"/>
        </w:tabs>
        <w:ind w:left="2160" w:hanging="360"/>
      </w:pPr>
      <w:rPr>
        <w:rFonts w:ascii="Arial" w:hAnsi="Arial" w:hint="default"/>
      </w:rPr>
    </w:lvl>
    <w:lvl w:ilvl="3" w:tplc="1A50AE9E" w:tentative="1">
      <w:start w:val="1"/>
      <w:numFmt w:val="bullet"/>
      <w:lvlText w:val="•"/>
      <w:lvlJc w:val="left"/>
      <w:pPr>
        <w:tabs>
          <w:tab w:val="num" w:pos="2880"/>
        </w:tabs>
        <w:ind w:left="2880" w:hanging="360"/>
      </w:pPr>
      <w:rPr>
        <w:rFonts w:ascii="Arial" w:hAnsi="Arial" w:hint="default"/>
      </w:rPr>
    </w:lvl>
    <w:lvl w:ilvl="4" w:tplc="4EDCA72A" w:tentative="1">
      <w:start w:val="1"/>
      <w:numFmt w:val="bullet"/>
      <w:lvlText w:val="•"/>
      <w:lvlJc w:val="left"/>
      <w:pPr>
        <w:tabs>
          <w:tab w:val="num" w:pos="3600"/>
        </w:tabs>
        <w:ind w:left="3600" w:hanging="360"/>
      </w:pPr>
      <w:rPr>
        <w:rFonts w:ascii="Arial" w:hAnsi="Arial" w:hint="default"/>
      </w:rPr>
    </w:lvl>
    <w:lvl w:ilvl="5" w:tplc="97B45128" w:tentative="1">
      <w:start w:val="1"/>
      <w:numFmt w:val="bullet"/>
      <w:lvlText w:val="•"/>
      <w:lvlJc w:val="left"/>
      <w:pPr>
        <w:tabs>
          <w:tab w:val="num" w:pos="4320"/>
        </w:tabs>
        <w:ind w:left="4320" w:hanging="360"/>
      </w:pPr>
      <w:rPr>
        <w:rFonts w:ascii="Arial" w:hAnsi="Arial" w:hint="default"/>
      </w:rPr>
    </w:lvl>
    <w:lvl w:ilvl="6" w:tplc="D90EA98C" w:tentative="1">
      <w:start w:val="1"/>
      <w:numFmt w:val="bullet"/>
      <w:lvlText w:val="•"/>
      <w:lvlJc w:val="left"/>
      <w:pPr>
        <w:tabs>
          <w:tab w:val="num" w:pos="5040"/>
        </w:tabs>
        <w:ind w:left="5040" w:hanging="360"/>
      </w:pPr>
      <w:rPr>
        <w:rFonts w:ascii="Arial" w:hAnsi="Arial" w:hint="default"/>
      </w:rPr>
    </w:lvl>
    <w:lvl w:ilvl="7" w:tplc="E4BE111C" w:tentative="1">
      <w:start w:val="1"/>
      <w:numFmt w:val="bullet"/>
      <w:lvlText w:val="•"/>
      <w:lvlJc w:val="left"/>
      <w:pPr>
        <w:tabs>
          <w:tab w:val="num" w:pos="5760"/>
        </w:tabs>
        <w:ind w:left="5760" w:hanging="360"/>
      </w:pPr>
      <w:rPr>
        <w:rFonts w:ascii="Arial" w:hAnsi="Arial" w:hint="default"/>
      </w:rPr>
    </w:lvl>
    <w:lvl w:ilvl="8" w:tplc="CD6E76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A4CE3"/>
    <w:multiLevelType w:val="hybridMultilevel"/>
    <w:tmpl w:val="D2CEAF84"/>
    <w:lvl w:ilvl="0" w:tplc="CD222518">
      <w:start w:val="1"/>
      <w:numFmt w:val="bullet"/>
      <w:lvlText w:val="•"/>
      <w:lvlJc w:val="left"/>
      <w:pPr>
        <w:tabs>
          <w:tab w:val="num" w:pos="720"/>
        </w:tabs>
        <w:ind w:left="720" w:hanging="360"/>
      </w:pPr>
      <w:rPr>
        <w:rFonts w:ascii="Arial" w:hAnsi="Arial" w:hint="default"/>
      </w:rPr>
    </w:lvl>
    <w:lvl w:ilvl="1" w:tplc="6E067F1A" w:tentative="1">
      <w:start w:val="1"/>
      <w:numFmt w:val="bullet"/>
      <w:lvlText w:val="•"/>
      <w:lvlJc w:val="left"/>
      <w:pPr>
        <w:tabs>
          <w:tab w:val="num" w:pos="1440"/>
        </w:tabs>
        <w:ind w:left="1440" w:hanging="360"/>
      </w:pPr>
      <w:rPr>
        <w:rFonts w:ascii="Arial" w:hAnsi="Arial" w:hint="default"/>
      </w:rPr>
    </w:lvl>
    <w:lvl w:ilvl="2" w:tplc="A84CFF4E" w:tentative="1">
      <w:start w:val="1"/>
      <w:numFmt w:val="bullet"/>
      <w:lvlText w:val="•"/>
      <w:lvlJc w:val="left"/>
      <w:pPr>
        <w:tabs>
          <w:tab w:val="num" w:pos="2160"/>
        </w:tabs>
        <w:ind w:left="2160" w:hanging="360"/>
      </w:pPr>
      <w:rPr>
        <w:rFonts w:ascii="Arial" w:hAnsi="Arial" w:hint="default"/>
      </w:rPr>
    </w:lvl>
    <w:lvl w:ilvl="3" w:tplc="1DDC01D4" w:tentative="1">
      <w:start w:val="1"/>
      <w:numFmt w:val="bullet"/>
      <w:lvlText w:val="•"/>
      <w:lvlJc w:val="left"/>
      <w:pPr>
        <w:tabs>
          <w:tab w:val="num" w:pos="2880"/>
        </w:tabs>
        <w:ind w:left="2880" w:hanging="360"/>
      </w:pPr>
      <w:rPr>
        <w:rFonts w:ascii="Arial" w:hAnsi="Arial" w:hint="default"/>
      </w:rPr>
    </w:lvl>
    <w:lvl w:ilvl="4" w:tplc="8F74C1EC" w:tentative="1">
      <w:start w:val="1"/>
      <w:numFmt w:val="bullet"/>
      <w:lvlText w:val="•"/>
      <w:lvlJc w:val="left"/>
      <w:pPr>
        <w:tabs>
          <w:tab w:val="num" w:pos="3600"/>
        </w:tabs>
        <w:ind w:left="3600" w:hanging="360"/>
      </w:pPr>
      <w:rPr>
        <w:rFonts w:ascii="Arial" w:hAnsi="Arial" w:hint="default"/>
      </w:rPr>
    </w:lvl>
    <w:lvl w:ilvl="5" w:tplc="2670E190" w:tentative="1">
      <w:start w:val="1"/>
      <w:numFmt w:val="bullet"/>
      <w:lvlText w:val="•"/>
      <w:lvlJc w:val="left"/>
      <w:pPr>
        <w:tabs>
          <w:tab w:val="num" w:pos="4320"/>
        </w:tabs>
        <w:ind w:left="4320" w:hanging="360"/>
      </w:pPr>
      <w:rPr>
        <w:rFonts w:ascii="Arial" w:hAnsi="Arial" w:hint="default"/>
      </w:rPr>
    </w:lvl>
    <w:lvl w:ilvl="6" w:tplc="0CBE49CC" w:tentative="1">
      <w:start w:val="1"/>
      <w:numFmt w:val="bullet"/>
      <w:lvlText w:val="•"/>
      <w:lvlJc w:val="left"/>
      <w:pPr>
        <w:tabs>
          <w:tab w:val="num" w:pos="5040"/>
        </w:tabs>
        <w:ind w:left="5040" w:hanging="360"/>
      </w:pPr>
      <w:rPr>
        <w:rFonts w:ascii="Arial" w:hAnsi="Arial" w:hint="default"/>
      </w:rPr>
    </w:lvl>
    <w:lvl w:ilvl="7" w:tplc="A2EA6DDC" w:tentative="1">
      <w:start w:val="1"/>
      <w:numFmt w:val="bullet"/>
      <w:lvlText w:val="•"/>
      <w:lvlJc w:val="left"/>
      <w:pPr>
        <w:tabs>
          <w:tab w:val="num" w:pos="5760"/>
        </w:tabs>
        <w:ind w:left="5760" w:hanging="360"/>
      </w:pPr>
      <w:rPr>
        <w:rFonts w:ascii="Arial" w:hAnsi="Arial" w:hint="default"/>
      </w:rPr>
    </w:lvl>
    <w:lvl w:ilvl="8" w:tplc="F47CD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BB1CDF"/>
    <w:multiLevelType w:val="hybridMultilevel"/>
    <w:tmpl w:val="823E1886"/>
    <w:lvl w:ilvl="0" w:tplc="0F569374">
      <w:start w:val="1"/>
      <w:numFmt w:val="bullet"/>
      <w:lvlText w:val="•"/>
      <w:lvlJc w:val="left"/>
      <w:pPr>
        <w:tabs>
          <w:tab w:val="num" w:pos="720"/>
        </w:tabs>
        <w:ind w:left="720" w:hanging="360"/>
      </w:pPr>
      <w:rPr>
        <w:rFonts w:ascii="Arial" w:hAnsi="Arial" w:hint="default"/>
      </w:rPr>
    </w:lvl>
    <w:lvl w:ilvl="1" w:tplc="448C16AC" w:tentative="1">
      <w:start w:val="1"/>
      <w:numFmt w:val="bullet"/>
      <w:lvlText w:val="•"/>
      <w:lvlJc w:val="left"/>
      <w:pPr>
        <w:tabs>
          <w:tab w:val="num" w:pos="1440"/>
        </w:tabs>
        <w:ind w:left="1440" w:hanging="360"/>
      </w:pPr>
      <w:rPr>
        <w:rFonts w:ascii="Arial" w:hAnsi="Arial" w:hint="default"/>
      </w:rPr>
    </w:lvl>
    <w:lvl w:ilvl="2" w:tplc="4C4A4A28" w:tentative="1">
      <w:start w:val="1"/>
      <w:numFmt w:val="bullet"/>
      <w:lvlText w:val="•"/>
      <w:lvlJc w:val="left"/>
      <w:pPr>
        <w:tabs>
          <w:tab w:val="num" w:pos="2160"/>
        </w:tabs>
        <w:ind w:left="2160" w:hanging="360"/>
      </w:pPr>
      <w:rPr>
        <w:rFonts w:ascii="Arial" w:hAnsi="Arial" w:hint="default"/>
      </w:rPr>
    </w:lvl>
    <w:lvl w:ilvl="3" w:tplc="441E8872" w:tentative="1">
      <w:start w:val="1"/>
      <w:numFmt w:val="bullet"/>
      <w:lvlText w:val="•"/>
      <w:lvlJc w:val="left"/>
      <w:pPr>
        <w:tabs>
          <w:tab w:val="num" w:pos="2880"/>
        </w:tabs>
        <w:ind w:left="2880" w:hanging="360"/>
      </w:pPr>
      <w:rPr>
        <w:rFonts w:ascii="Arial" w:hAnsi="Arial" w:hint="default"/>
      </w:rPr>
    </w:lvl>
    <w:lvl w:ilvl="4" w:tplc="DC9CD3E0" w:tentative="1">
      <w:start w:val="1"/>
      <w:numFmt w:val="bullet"/>
      <w:lvlText w:val="•"/>
      <w:lvlJc w:val="left"/>
      <w:pPr>
        <w:tabs>
          <w:tab w:val="num" w:pos="3600"/>
        </w:tabs>
        <w:ind w:left="3600" w:hanging="360"/>
      </w:pPr>
      <w:rPr>
        <w:rFonts w:ascii="Arial" w:hAnsi="Arial" w:hint="default"/>
      </w:rPr>
    </w:lvl>
    <w:lvl w:ilvl="5" w:tplc="C8D89E36" w:tentative="1">
      <w:start w:val="1"/>
      <w:numFmt w:val="bullet"/>
      <w:lvlText w:val="•"/>
      <w:lvlJc w:val="left"/>
      <w:pPr>
        <w:tabs>
          <w:tab w:val="num" w:pos="4320"/>
        </w:tabs>
        <w:ind w:left="4320" w:hanging="360"/>
      </w:pPr>
      <w:rPr>
        <w:rFonts w:ascii="Arial" w:hAnsi="Arial" w:hint="default"/>
      </w:rPr>
    </w:lvl>
    <w:lvl w:ilvl="6" w:tplc="2CD09910" w:tentative="1">
      <w:start w:val="1"/>
      <w:numFmt w:val="bullet"/>
      <w:lvlText w:val="•"/>
      <w:lvlJc w:val="left"/>
      <w:pPr>
        <w:tabs>
          <w:tab w:val="num" w:pos="5040"/>
        </w:tabs>
        <w:ind w:left="5040" w:hanging="360"/>
      </w:pPr>
      <w:rPr>
        <w:rFonts w:ascii="Arial" w:hAnsi="Arial" w:hint="default"/>
      </w:rPr>
    </w:lvl>
    <w:lvl w:ilvl="7" w:tplc="72102E90" w:tentative="1">
      <w:start w:val="1"/>
      <w:numFmt w:val="bullet"/>
      <w:lvlText w:val="•"/>
      <w:lvlJc w:val="left"/>
      <w:pPr>
        <w:tabs>
          <w:tab w:val="num" w:pos="5760"/>
        </w:tabs>
        <w:ind w:left="5760" w:hanging="360"/>
      </w:pPr>
      <w:rPr>
        <w:rFonts w:ascii="Arial" w:hAnsi="Arial" w:hint="default"/>
      </w:rPr>
    </w:lvl>
    <w:lvl w:ilvl="8" w:tplc="C36A6C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965727"/>
    <w:multiLevelType w:val="hybridMultilevel"/>
    <w:tmpl w:val="7B92FC02"/>
    <w:lvl w:ilvl="0" w:tplc="881E61C8">
      <w:start w:val="1"/>
      <w:numFmt w:val="bullet"/>
      <w:lvlText w:val="•"/>
      <w:lvlJc w:val="left"/>
      <w:pPr>
        <w:tabs>
          <w:tab w:val="num" w:pos="720"/>
        </w:tabs>
        <w:ind w:left="720" w:hanging="360"/>
      </w:pPr>
      <w:rPr>
        <w:rFonts w:ascii="Arial" w:hAnsi="Arial" w:hint="default"/>
      </w:rPr>
    </w:lvl>
    <w:lvl w:ilvl="1" w:tplc="D456718A" w:tentative="1">
      <w:start w:val="1"/>
      <w:numFmt w:val="bullet"/>
      <w:lvlText w:val="•"/>
      <w:lvlJc w:val="left"/>
      <w:pPr>
        <w:tabs>
          <w:tab w:val="num" w:pos="1440"/>
        </w:tabs>
        <w:ind w:left="1440" w:hanging="360"/>
      </w:pPr>
      <w:rPr>
        <w:rFonts w:ascii="Arial" w:hAnsi="Arial" w:hint="default"/>
      </w:rPr>
    </w:lvl>
    <w:lvl w:ilvl="2" w:tplc="24AC42C6" w:tentative="1">
      <w:start w:val="1"/>
      <w:numFmt w:val="bullet"/>
      <w:lvlText w:val="•"/>
      <w:lvlJc w:val="left"/>
      <w:pPr>
        <w:tabs>
          <w:tab w:val="num" w:pos="2160"/>
        </w:tabs>
        <w:ind w:left="2160" w:hanging="360"/>
      </w:pPr>
      <w:rPr>
        <w:rFonts w:ascii="Arial" w:hAnsi="Arial" w:hint="default"/>
      </w:rPr>
    </w:lvl>
    <w:lvl w:ilvl="3" w:tplc="FB266CBE" w:tentative="1">
      <w:start w:val="1"/>
      <w:numFmt w:val="bullet"/>
      <w:lvlText w:val="•"/>
      <w:lvlJc w:val="left"/>
      <w:pPr>
        <w:tabs>
          <w:tab w:val="num" w:pos="2880"/>
        </w:tabs>
        <w:ind w:left="2880" w:hanging="360"/>
      </w:pPr>
      <w:rPr>
        <w:rFonts w:ascii="Arial" w:hAnsi="Arial" w:hint="default"/>
      </w:rPr>
    </w:lvl>
    <w:lvl w:ilvl="4" w:tplc="1E563516" w:tentative="1">
      <w:start w:val="1"/>
      <w:numFmt w:val="bullet"/>
      <w:lvlText w:val="•"/>
      <w:lvlJc w:val="left"/>
      <w:pPr>
        <w:tabs>
          <w:tab w:val="num" w:pos="3600"/>
        </w:tabs>
        <w:ind w:left="3600" w:hanging="360"/>
      </w:pPr>
      <w:rPr>
        <w:rFonts w:ascii="Arial" w:hAnsi="Arial" w:hint="default"/>
      </w:rPr>
    </w:lvl>
    <w:lvl w:ilvl="5" w:tplc="FCFA8A8A" w:tentative="1">
      <w:start w:val="1"/>
      <w:numFmt w:val="bullet"/>
      <w:lvlText w:val="•"/>
      <w:lvlJc w:val="left"/>
      <w:pPr>
        <w:tabs>
          <w:tab w:val="num" w:pos="4320"/>
        </w:tabs>
        <w:ind w:left="4320" w:hanging="360"/>
      </w:pPr>
      <w:rPr>
        <w:rFonts w:ascii="Arial" w:hAnsi="Arial" w:hint="default"/>
      </w:rPr>
    </w:lvl>
    <w:lvl w:ilvl="6" w:tplc="498C15F0" w:tentative="1">
      <w:start w:val="1"/>
      <w:numFmt w:val="bullet"/>
      <w:lvlText w:val="•"/>
      <w:lvlJc w:val="left"/>
      <w:pPr>
        <w:tabs>
          <w:tab w:val="num" w:pos="5040"/>
        </w:tabs>
        <w:ind w:left="5040" w:hanging="360"/>
      </w:pPr>
      <w:rPr>
        <w:rFonts w:ascii="Arial" w:hAnsi="Arial" w:hint="default"/>
      </w:rPr>
    </w:lvl>
    <w:lvl w:ilvl="7" w:tplc="09FC6844" w:tentative="1">
      <w:start w:val="1"/>
      <w:numFmt w:val="bullet"/>
      <w:lvlText w:val="•"/>
      <w:lvlJc w:val="left"/>
      <w:pPr>
        <w:tabs>
          <w:tab w:val="num" w:pos="5760"/>
        </w:tabs>
        <w:ind w:left="5760" w:hanging="360"/>
      </w:pPr>
      <w:rPr>
        <w:rFonts w:ascii="Arial" w:hAnsi="Arial" w:hint="default"/>
      </w:rPr>
    </w:lvl>
    <w:lvl w:ilvl="8" w:tplc="5C8E3C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0358CA"/>
    <w:multiLevelType w:val="hybridMultilevel"/>
    <w:tmpl w:val="03366660"/>
    <w:lvl w:ilvl="0" w:tplc="DD6E7F88">
      <w:start w:val="1"/>
      <w:numFmt w:val="bullet"/>
      <w:lvlText w:val="•"/>
      <w:lvlJc w:val="left"/>
      <w:pPr>
        <w:tabs>
          <w:tab w:val="num" w:pos="720"/>
        </w:tabs>
        <w:ind w:left="720" w:hanging="360"/>
      </w:pPr>
      <w:rPr>
        <w:rFonts w:ascii="Arial" w:hAnsi="Arial" w:hint="default"/>
      </w:rPr>
    </w:lvl>
    <w:lvl w:ilvl="1" w:tplc="2342FE8C" w:tentative="1">
      <w:start w:val="1"/>
      <w:numFmt w:val="bullet"/>
      <w:lvlText w:val="•"/>
      <w:lvlJc w:val="left"/>
      <w:pPr>
        <w:tabs>
          <w:tab w:val="num" w:pos="1440"/>
        </w:tabs>
        <w:ind w:left="1440" w:hanging="360"/>
      </w:pPr>
      <w:rPr>
        <w:rFonts w:ascii="Arial" w:hAnsi="Arial" w:hint="default"/>
      </w:rPr>
    </w:lvl>
    <w:lvl w:ilvl="2" w:tplc="E5CA1BDE" w:tentative="1">
      <w:start w:val="1"/>
      <w:numFmt w:val="bullet"/>
      <w:lvlText w:val="•"/>
      <w:lvlJc w:val="left"/>
      <w:pPr>
        <w:tabs>
          <w:tab w:val="num" w:pos="2160"/>
        </w:tabs>
        <w:ind w:left="2160" w:hanging="360"/>
      </w:pPr>
      <w:rPr>
        <w:rFonts w:ascii="Arial" w:hAnsi="Arial" w:hint="default"/>
      </w:rPr>
    </w:lvl>
    <w:lvl w:ilvl="3" w:tplc="8DDEF250" w:tentative="1">
      <w:start w:val="1"/>
      <w:numFmt w:val="bullet"/>
      <w:lvlText w:val="•"/>
      <w:lvlJc w:val="left"/>
      <w:pPr>
        <w:tabs>
          <w:tab w:val="num" w:pos="2880"/>
        </w:tabs>
        <w:ind w:left="2880" w:hanging="360"/>
      </w:pPr>
      <w:rPr>
        <w:rFonts w:ascii="Arial" w:hAnsi="Arial" w:hint="default"/>
      </w:rPr>
    </w:lvl>
    <w:lvl w:ilvl="4" w:tplc="6A0EF698" w:tentative="1">
      <w:start w:val="1"/>
      <w:numFmt w:val="bullet"/>
      <w:lvlText w:val="•"/>
      <w:lvlJc w:val="left"/>
      <w:pPr>
        <w:tabs>
          <w:tab w:val="num" w:pos="3600"/>
        </w:tabs>
        <w:ind w:left="3600" w:hanging="360"/>
      </w:pPr>
      <w:rPr>
        <w:rFonts w:ascii="Arial" w:hAnsi="Arial" w:hint="default"/>
      </w:rPr>
    </w:lvl>
    <w:lvl w:ilvl="5" w:tplc="AA028072" w:tentative="1">
      <w:start w:val="1"/>
      <w:numFmt w:val="bullet"/>
      <w:lvlText w:val="•"/>
      <w:lvlJc w:val="left"/>
      <w:pPr>
        <w:tabs>
          <w:tab w:val="num" w:pos="4320"/>
        </w:tabs>
        <w:ind w:left="4320" w:hanging="360"/>
      </w:pPr>
      <w:rPr>
        <w:rFonts w:ascii="Arial" w:hAnsi="Arial" w:hint="default"/>
      </w:rPr>
    </w:lvl>
    <w:lvl w:ilvl="6" w:tplc="FF180238" w:tentative="1">
      <w:start w:val="1"/>
      <w:numFmt w:val="bullet"/>
      <w:lvlText w:val="•"/>
      <w:lvlJc w:val="left"/>
      <w:pPr>
        <w:tabs>
          <w:tab w:val="num" w:pos="5040"/>
        </w:tabs>
        <w:ind w:left="5040" w:hanging="360"/>
      </w:pPr>
      <w:rPr>
        <w:rFonts w:ascii="Arial" w:hAnsi="Arial" w:hint="default"/>
      </w:rPr>
    </w:lvl>
    <w:lvl w:ilvl="7" w:tplc="7862A2C6" w:tentative="1">
      <w:start w:val="1"/>
      <w:numFmt w:val="bullet"/>
      <w:lvlText w:val="•"/>
      <w:lvlJc w:val="left"/>
      <w:pPr>
        <w:tabs>
          <w:tab w:val="num" w:pos="5760"/>
        </w:tabs>
        <w:ind w:left="5760" w:hanging="360"/>
      </w:pPr>
      <w:rPr>
        <w:rFonts w:ascii="Arial" w:hAnsi="Arial" w:hint="default"/>
      </w:rPr>
    </w:lvl>
    <w:lvl w:ilvl="8" w:tplc="04F217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5E487F"/>
    <w:multiLevelType w:val="hybridMultilevel"/>
    <w:tmpl w:val="FF807786"/>
    <w:lvl w:ilvl="0" w:tplc="A07E6A2E">
      <w:start w:val="2"/>
      <w:numFmt w:val="bullet"/>
      <w:lvlText w:val="-"/>
      <w:lvlJc w:val="left"/>
      <w:pPr>
        <w:ind w:left="720" w:hanging="360"/>
      </w:pPr>
      <w:rPr>
        <w:rFonts w:ascii="Cambria" w:eastAsia="Calibri" w:hAnsi="Cambr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50F45AA"/>
    <w:multiLevelType w:val="hybridMultilevel"/>
    <w:tmpl w:val="817E5ABE"/>
    <w:lvl w:ilvl="0" w:tplc="EF6EEA70">
      <w:start w:val="7"/>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F763ECD"/>
    <w:multiLevelType w:val="hybridMultilevel"/>
    <w:tmpl w:val="24124C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72031B80"/>
    <w:multiLevelType w:val="hybridMultilevel"/>
    <w:tmpl w:val="5C9416DE"/>
    <w:lvl w:ilvl="0" w:tplc="93BADF48">
      <w:start w:val="1"/>
      <w:numFmt w:val="bullet"/>
      <w:lvlText w:val="•"/>
      <w:lvlJc w:val="left"/>
      <w:pPr>
        <w:tabs>
          <w:tab w:val="num" w:pos="720"/>
        </w:tabs>
        <w:ind w:left="720" w:hanging="360"/>
      </w:pPr>
      <w:rPr>
        <w:rFonts w:ascii="Arial" w:hAnsi="Arial" w:hint="default"/>
      </w:rPr>
    </w:lvl>
    <w:lvl w:ilvl="1" w:tplc="8C04F07A">
      <w:start w:val="302"/>
      <w:numFmt w:val="bullet"/>
      <w:lvlText w:val="•"/>
      <w:lvlJc w:val="left"/>
      <w:pPr>
        <w:tabs>
          <w:tab w:val="num" w:pos="1440"/>
        </w:tabs>
        <w:ind w:left="1440" w:hanging="360"/>
      </w:pPr>
      <w:rPr>
        <w:rFonts w:ascii="Arial" w:hAnsi="Arial" w:hint="default"/>
      </w:rPr>
    </w:lvl>
    <w:lvl w:ilvl="2" w:tplc="229E7870" w:tentative="1">
      <w:start w:val="1"/>
      <w:numFmt w:val="bullet"/>
      <w:lvlText w:val="•"/>
      <w:lvlJc w:val="left"/>
      <w:pPr>
        <w:tabs>
          <w:tab w:val="num" w:pos="2160"/>
        </w:tabs>
        <w:ind w:left="2160" w:hanging="360"/>
      </w:pPr>
      <w:rPr>
        <w:rFonts w:ascii="Arial" w:hAnsi="Arial" w:hint="default"/>
      </w:rPr>
    </w:lvl>
    <w:lvl w:ilvl="3" w:tplc="CB46E766" w:tentative="1">
      <w:start w:val="1"/>
      <w:numFmt w:val="bullet"/>
      <w:lvlText w:val="•"/>
      <w:lvlJc w:val="left"/>
      <w:pPr>
        <w:tabs>
          <w:tab w:val="num" w:pos="2880"/>
        </w:tabs>
        <w:ind w:left="2880" w:hanging="360"/>
      </w:pPr>
      <w:rPr>
        <w:rFonts w:ascii="Arial" w:hAnsi="Arial" w:hint="default"/>
      </w:rPr>
    </w:lvl>
    <w:lvl w:ilvl="4" w:tplc="D36E98CA" w:tentative="1">
      <w:start w:val="1"/>
      <w:numFmt w:val="bullet"/>
      <w:lvlText w:val="•"/>
      <w:lvlJc w:val="left"/>
      <w:pPr>
        <w:tabs>
          <w:tab w:val="num" w:pos="3600"/>
        </w:tabs>
        <w:ind w:left="3600" w:hanging="360"/>
      </w:pPr>
      <w:rPr>
        <w:rFonts w:ascii="Arial" w:hAnsi="Arial" w:hint="default"/>
      </w:rPr>
    </w:lvl>
    <w:lvl w:ilvl="5" w:tplc="EE58699A" w:tentative="1">
      <w:start w:val="1"/>
      <w:numFmt w:val="bullet"/>
      <w:lvlText w:val="•"/>
      <w:lvlJc w:val="left"/>
      <w:pPr>
        <w:tabs>
          <w:tab w:val="num" w:pos="4320"/>
        </w:tabs>
        <w:ind w:left="4320" w:hanging="360"/>
      </w:pPr>
      <w:rPr>
        <w:rFonts w:ascii="Arial" w:hAnsi="Arial" w:hint="default"/>
      </w:rPr>
    </w:lvl>
    <w:lvl w:ilvl="6" w:tplc="B47ED59C" w:tentative="1">
      <w:start w:val="1"/>
      <w:numFmt w:val="bullet"/>
      <w:lvlText w:val="•"/>
      <w:lvlJc w:val="left"/>
      <w:pPr>
        <w:tabs>
          <w:tab w:val="num" w:pos="5040"/>
        </w:tabs>
        <w:ind w:left="5040" w:hanging="360"/>
      </w:pPr>
      <w:rPr>
        <w:rFonts w:ascii="Arial" w:hAnsi="Arial" w:hint="default"/>
      </w:rPr>
    </w:lvl>
    <w:lvl w:ilvl="7" w:tplc="4254EF28" w:tentative="1">
      <w:start w:val="1"/>
      <w:numFmt w:val="bullet"/>
      <w:lvlText w:val="•"/>
      <w:lvlJc w:val="left"/>
      <w:pPr>
        <w:tabs>
          <w:tab w:val="num" w:pos="5760"/>
        </w:tabs>
        <w:ind w:left="5760" w:hanging="360"/>
      </w:pPr>
      <w:rPr>
        <w:rFonts w:ascii="Arial" w:hAnsi="Arial" w:hint="default"/>
      </w:rPr>
    </w:lvl>
    <w:lvl w:ilvl="8" w:tplc="567C3A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2532F3"/>
    <w:multiLevelType w:val="hybridMultilevel"/>
    <w:tmpl w:val="B0E84AE6"/>
    <w:lvl w:ilvl="0" w:tplc="E8DE2550">
      <w:start w:val="1"/>
      <w:numFmt w:val="bullet"/>
      <w:lvlText w:val="•"/>
      <w:lvlJc w:val="left"/>
      <w:pPr>
        <w:tabs>
          <w:tab w:val="num" w:pos="720"/>
        </w:tabs>
        <w:ind w:left="720" w:hanging="360"/>
      </w:pPr>
      <w:rPr>
        <w:rFonts w:ascii="Arial" w:hAnsi="Arial" w:hint="default"/>
      </w:rPr>
    </w:lvl>
    <w:lvl w:ilvl="1" w:tplc="F14447EC" w:tentative="1">
      <w:start w:val="1"/>
      <w:numFmt w:val="bullet"/>
      <w:lvlText w:val="•"/>
      <w:lvlJc w:val="left"/>
      <w:pPr>
        <w:tabs>
          <w:tab w:val="num" w:pos="1440"/>
        </w:tabs>
        <w:ind w:left="1440" w:hanging="360"/>
      </w:pPr>
      <w:rPr>
        <w:rFonts w:ascii="Arial" w:hAnsi="Arial" w:hint="default"/>
      </w:rPr>
    </w:lvl>
    <w:lvl w:ilvl="2" w:tplc="7B6EC510" w:tentative="1">
      <w:start w:val="1"/>
      <w:numFmt w:val="bullet"/>
      <w:lvlText w:val="•"/>
      <w:lvlJc w:val="left"/>
      <w:pPr>
        <w:tabs>
          <w:tab w:val="num" w:pos="2160"/>
        </w:tabs>
        <w:ind w:left="2160" w:hanging="360"/>
      </w:pPr>
      <w:rPr>
        <w:rFonts w:ascii="Arial" w:hAnsi="Arial" w:hint="default"/>
      </w:rPr>
    </w:lvl>
    <w:lvl w:ilvl="3" w:tplc="8A882448" w:tentative="1">
      <w:start w:val="1"/>
      <w:numFmt w:val="bullet"/>
      <w:lvlText w:val="•"/>
      <w:lvlJc w:val="left"/>
      <w:pPr>
        <w:tabs>
          <w:tab w:val="num" w:pos="2880"/>
        </w:tabs>
        <w:ind w:left="2880" w:hanging="360"/>
      </w:pPr>
      <w:rPr>
        <w:rFonts w:ascii="Arial" w:hAnsi="Arial" w:hint="default"/>
      </w:rPr>
    </w:lvl>
    <w:lvl w:ilvl="4" w:tplc="2FCE3686" w:tentative="1">
      <w:start w:val="1"/>
      <w:numFmt w:val="bullet"/>
      <w:lvlText w:val="•"/>
      <w:lvlJc w:val="left"/>
      <w:pPr>
        <w:tabs>
          <w:tab w:val="num" w:pos="3600"/>
        </w:tabs>
        <w:ind w:left="3600" w:hanging="360"/>
      </w:pPr>
      <w:rPr>
        <w:rFonts w:ascii="Arial" w:hAnsi="Arial" w:hint="default"/>
      </w:rPr>
    </w:lvl>
    <w:lvl w:ilvl="5" w:tplc="2FC291E2" w:tentative="1">
      <w:start w:val="1"/>
      <w:numFmt w:val="bullet"/>
      <w:lvlText w:val="•"/>
      <w:lvlJc w:val="left"/>
      <w:pPr>
        <w:tabs>
          <w:tab w:val="num" w:pos="4320"/>
        </w:tabs>
        <w:ind w:left="4320" w:hanging="360"/>
      </w:pPr>
      <w:rPr>
        <w:rFonts w:ascii="Arial" w:hAnsi="Arial" w:hint="default"/>
      </w:rPr>
    </w:lvl>
    <w:lvl w:ilvl="6" w:tplc="0BE81922" w:tentative="1">
      <w:start w:val="1"/>
      <w:numFmt w:val="bullet"/>
      <w:lvlText w:val="•"/>
      <w:lvlJc w:val="left"/>
      <w:pPr>
        <w:tabs>
          <w:tab w:val="num" w:pos="5040"/>
        </w:tabs>
        <w:ind w:left="5040" w:hanging="360"/>
      </w:pPr>
      <w:rPr>
        <w:rFonts w:ascii="Arial" w:hAnsi="Arial" w:hint="default"/>
      </w:rPr>
    </w:lvl>
    <w:lvl w:ilvl="7" w:tplc="AAE6CA9C" w:tentative="1">
      <w:start w:val="1"/>
      <w:numFmt w:val="bullet"/>
      <w:lvlText w:val="•"/>
      <w:lvlJc w:val="left"/>
      <w:pPr>
        <w:tabs>
          <w:tab w:val="num" w:pos="5760"/>
        </w:tabs>
        <w:ind w:left="5760" w:hanging="360"/>
      </w:pPr>
      <w:rPr>
        <w:rFonts w:ascii="Arial" w:hAnsi="Arial" w:hint="default"/>
      </w:rPr>
    </w:lvl>
    <w:lvl w:ilvl="8" w:tplc="4C5CED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051AA2"/>
    <w:multiLevelType w:val="hybridMultilevel"/>
    <w:tmpl w:val="B8FC0F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2164DB"/>
    <w:multiLevelType w:val="hybridMultilevel"/>
    <w:tmpl w:val="CC682A30"/>
    <w:lvl w:ilvl="0" w:tplc="012C642E">
      <w:start w:val="1"/>
      <w:numFmt w:val="bullet"/>
      <w:lvlText w:val="•"/>
      <w:lvlJc w:val="left"/>
      <w:pPr>
        <w:tabs>
          <w:tab w:val="num" w:pos="720"/>
        </w:tabs>
        <w:ind w:left="720" w:hanging="360"/>
      </w:pPr>
      <w:rPr>
        <w:rFonts w:ascii="Arial" w:hAnsi="Arial" w:hint="default"/>
      </w:rPr>
    </w:lvl>
    <w:lvl w:ilvl="1" w:tplc="9BFE009A" w:tentative="1">
      <w:start w:val="1"/>
      <w:numFmt w:val="bullet"/>
      <w:lvlText w:val="•"/>
      <w:lvlJc w:val="left"/>
      <w:pPr>
        <w:tabs>
          <w:tab w:val="num" w:pos="1440"/>
        </w:tabs>
        <w:ind w:left="1440" w:hanging="360"/>
      </w:pPr>
      <w:rPr>
        <w:rFonts w:ascii="Arial" w:hAnsi="Arial" w:hint="default"/>
      </w:rPr>
    </w:lvl>
    <w:lvl w:ilvl="2" w:tplc="62305F3C" w:tentative="1">
      <w:start w:val="1"/>
      <w:numFmt w:val="bullet"/>
      <w:lvlText w:val="•"/>
      <w:lvlJc w:val="left"/>
      <w:pPr>
        <w:tabs>
          <w:tab w:val="num" w:pos="2160"/>
        </w:tabs>
        <w:ind w:left="2160" w:hanging="360"/>
      </w:pPr>
      <w:rPr>
        <w:rFonts w:ascii="Arial" w:hAnsi="Arial" w:hint="default"/>
      </w:rPr>
    </w:lvl>
    <w:lvl w:ilvl="3" w:tplc="07CC9EF4" w:tentative="1">
      <w:start w:val="1"/>
      <w:numFmt w:val="bullet"/>
      <w:lvlText w:val="•"/>
      <w:lvlJc w:val="left"/>
      <w:pPr>
        <w:tabs>
          <w:tab w:val="num" w:pos="2880"/>
        </w:tabs>
        <w:ind w:left="2880" w:hanging="360"/>
      </w:pPr>
      <w:rPr>
        <w:rFonts w:ascii="Arial" w:hAnsi="Arial" w:hint="default"/>
      </w:rPr>
    </w:lvl>
    <w:lvl w:ilvl="4" w:tplc="6E22AD56" w:tentative="1">
      <w:start w:val="1"/>
      <w:numFmt w:val="bullet"/>
      <w:lvlText w:val="•"/>
      <w:lvlJc w:val="left"/>
      <w:pPr>
        <w:tabs>
          <w:tab w:val="num" w:pos="3600"/>
        </w:tabs>
        <w:ind w:left="3600" w:hanging="360"/>
      </w:pPr>
      <w:rPr>
        <w:rFonts w:ascii="Arial" w:hAnsi="Arial" w:hint="default"/>
      </w:rPr>
    </w:lvl>
    <w:lvl w:ilvl="5" w:tplc="42B6B4F4" w:tentative="1">
      <w:start w:val="1"/>
      <w:numFmt w:val="bullet"/>
      <w:lvlText w:val="•"/>
      <w:lvlJc w:val="left"/>
      <w:pPr>
        <w:tabs>
          <w:tab w:val="num" w:pos="4320"/>
        </w:tabs>
        <w:ind w:left="4320" w:hanging="360"/>
      </w:pPr>
      <w:rPr>
        <w:rFonts w:ascii="Arial" w:hAnsi="Arial" w:hint="default"/>
      </w:rPr>
    </w:lvl>
    <w:lvl w:ilvl="6" w:tplc="786EB360" w:tentative="1">
      <w:start w:val="1"/>
      <w:numFmt w:val="bullet"/>
      <w:lvlText w:val="•"/>
      <w:lvlJc w:val="left"/>
      <w:pPr>
        <w:tabs>
          <w:tab w:val="num" w:pos="5040"/>
        </w:tabs>
        <w:ind w:left="5040" w:hanging="360"/>
      </w:pPr>
      <w:rPr>
        <w:rFonts w:ascii="Arial" w:hAnsi="Arial" w:hint="default"/>
      </w:rPr>
    </w:lvl>
    <w:lvl w:ilvl="7" w:tplc="DEFADB5E" w:tentative="1">
      <w:start w:val="1"/>
      <w:numFmt w:val="bullet"/>
      <w:lvlText w:val="•"/>
      <w:lvlJc w:val="left"/>
      <w:pPr>
        <w:tabs>
          <w:tab w:val="num" w:pos="5760"/>
        </w:tabs>
        <w:ind w:left="5760" w:hanging="360"/>
      </w:pPr>
      <w:rPr>
        <w:rFonts w:ascii="Arial" w:hAnsi="Arial" w:hint="default"/>
      </w:rPr>
    </w:lvl>
    <w:lvl w:ilvl="8" w:tplc="60E6CEBC" w:tentative="1">
      <w:start w:val="1"/>
      <w:numFmt w:val="bullet"/>
      <w:lvlText w:val="•"/>
      <w:lvlJc w:val="left"/>
      <w:pPr>
        <w:tabs>
          <w:tab w:val="num" w:pos="6480"/>
        </w:tabs>
        <w:ind w:left="6480" w:hanging="360"/>
      </w:pPr>
      <w:rPr>
        <w:rFonts w:ascii="Arial" w:hAnsi="Arial" w:hint="default"/>
      </w:rPr>
    </w:lvl>
  </w:abstractNum>
  <w:num w:numId="1" w16cid:durableId="1006639886">
    <w:abstractNumId w:val="12"/>
  </w:num>
  <w:num w:numId="2" w16cid:durableId="1274440020">
    <w:abstractNumId w:val="0"/>
  </w:num>
  <w:num w:numId="3" w16cid:durableId="2014913500">
    <w:abstractNumId w:val="7"/>
  </w:num>
  <w:num w:numId="4" w16cid:durableId="1575047240">
    <w:abstractNumId w:val="6"/>
  </w:num>
  <w:num w:numId="5" w16cid:durableId="1658916782">
    <w:abstractNumId w:val="11"/>
  </w:num>
  <w:num w:numId="6" w16cid:durableId="1293094572">
    <w:abstractNumId w:val="13"/>
  </w:num>
  <w:num w:numId="7" w16cid:durableId="1963876315">
    <w:abstractNumId w:val="2"/>
  </w:num>
  <w:num w:numId="8" w16cid:durableId="1581867068">
    <w:abstractNumId w:val="10"/>
  </w:num>
  <w:num w:numId="9" w16cid:durableId="319431869">
    <w:abstractNumId w:val="5"/>
  </w:num>
  <w:num w:numId="10" w16cid:durableId="454640395">
    <w:abstractNumId w:val="3"/>
  </w:num>
  <w:num w:numId="11" w16cid:durableId="1821845116">
    <w:abstractNumId w:val="4"/>
  </w:num>
  <w:num w:numId="12" w16cid:durableId="95907636">
    <w:abstractNumId w:val="1"/>
  </w:num>
  <w:num w:numId="13" w16cid:durableId="1510873865">
    <w:abstractNumId w:val="8"/>
  </w:num>
  <w:num w:numId="14" w16cid:durableId="276304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95"/>
    <w:rsid w:val="00002ADC"/>
    <w:rsid w:val="00003B3C"/>
    <w:rsid w:val="000065C3"/>
    <w:rsid w:val="00011971"/>
    <w:rsid w:val="000154F0"/>
    <w:rsid w:val="000356D6"/>
    <w:rsid w:val="00050EB9"/>
    <w:rsid w:val="00086C48"/>
    <w:rsid w:val="00087E19"/>
    <w:rsid w:val="000915C5"/>
    <w:rsid w:val="000A519F"/>
    <w:rsid w:val="000C1453"/>
    <w:rsid w:val="000E290C"/>
    <w:rsid w:val="00105BA9"/>
    <w:rsid w:val="0011131C"/>
    <w:rsid w:val="0011333C"/>
    <w:rsid w:val="00141C1E"/>
    <w:rsid w:val="00154548"/>
    <w:rsid w:val="00167F2B"/>
    <w:rsid w:val="00175CE5"/>
    <w:rsid w:val="001A5C06"/>
    <w:rsid w:val="001E1382"/>
    <w:rsid w:val="001E25DA"/>
    <w:rsid w:val="0020121F"/>
    <w:rsid w:val="00205856"/>
    <w:rsid w:val="00210680"/>
    <w:rsid w:val="002208BE"/>
    <w:rsid w:val="00224A35"/>
    <w:rsid w:val="002350A4"/>
    <w:rsid w:val="002471B3"/>
    <w:rsid w:val="002548D2"/>
    <w:rsid w:val="0025594F"/>
    <w:rsid w:val="002609C0"/>
    <w:rsid w:val="00270871"/>
    <w:rsid w:val="00270D92"/>
    <w:rsid w:val="00280064"/>
    <w:rsid w:val="002A0B68"/>
    <w:rsid w:val="002B3E22"/>
    <w:rsid w:val="002D296F"/>
    <w:rsid w:val="002D743A"/>
    <w:rsid w:val="002F185D"/>
    <w:rsid w:val="00302BAA"/>
    <w:rsid w:val="00304627"/>
    <w:rsid w:val="00317BF8"/>
    <w:rsid w:val="003218F8"/>
    <w:rsid w:val="00331F68"/>
    <w:rsid w:val="003434A9"/>
    <w:rsid w:val="0035568E"/>
    <w:rsid w:val="003578D8"/>
    <w:rsid w:val="0036649F"/>
    <w:rsid w:val="00375A22"/>
    <w:rsid w:val="00381ECC"/>
    <w:rsid w:val="00387EE8"/>
    <w:rsid w:val="00391324"/>
    <w:rsid w:val="00393917"/>
    <w:rsid w:val="003A7E1F"/>
    <w:rsid w:val="003C0FC5"/>
    <w:rsid w:val="003D2AAC"/>
    <w:rsid w:val="003E1D43"/>
    <w:rsid w:val="003E46DA"/>
    <w:rsid w:val="003E55EC"/>
    <w:rsid w:val="003E6C6B"/>
    <w:rsid w:val="003E701C"/>
    <w:rsid w:val="004016FF"/>
    <w:rsid w:val="0040460C"/>
    <w:rsid w:val="004336DD"/>
    <w:rsid w:val="00433F0B"/>
    <w:rsid w:val="00441C54"/>
    <w:rsid w:val="0047471A"/>
    <w:rsid w:val="0047568B"/>
    <w:rsid w:val="0047791E"/>
    <w:rsid w:val="00482F8F"/>
    <w:rsid w:val="0048735A"/>
    <w:rsid w:val="004A40EA"/>
    <w:rsid w:val="004D631B"/>
    <w:rsid w:val="004D74E6"/>
    <w:rsid w:val="00521682"/>
    <w:rsid w:val="0054211D"/>
    <w:rsid w:val="00555424"/>
    <w:rsid w:val="00557AD2"/>
    <w:rsid w:val="0056682A"/>
    <w:rsid w:val="00571029"/>
    <w:rsid w:val="00572D8F"/>
    <w:rsid w:val="00592BE5"/>
    <w:rsid w:val="005A0FCD"/>
    <w:rsid w:val="005B1AC3"/>
    <w:rsid w:val="005C38AA"/>
    <w:rsid w:val="006006B8"/>
    <w:rsid w:val="006037DE"/>
    <w:rsid w:val="00607E79"/>
    <w:rsid w:val="0061600F"/>
    <w:rsid w:val="006255C4"/>
    <w:rsid w:val="006263EA"/>
    <w:rsid w:val="0063003F"/>
    <w:rsid w:val="00635396"/>
    <w:rsid w:val="00641230"/>
    <w:rsid w:val="00651465"/>
    <w:rsid w:val="00651918"/>
    <w:rsid w:val="00671C4D"/>
    <w:rsid w:val="00681B77"/>
    <w:rsid w:val="0069554A"/>
    <w:rsid w:val="00697B3E"/>
    <w:rsid w:val="006A265C"/>
    <w:rsid w:val="006B137B"/>
    <w:rsid w:val="006B2235"/>
    <w:rsid w:val="006B65F1"/>
    <w:rsid w:val="006E14FC"/>
    <w:rsid w:val="006F00A1"/>
    <w:rsid w:val="006F57A0"/>
    <w:rsid w:val="0071144B"/>
    <w:rsid w:val="007154FB"/>
    <w:rsid w:val="00723339"/>
    <w:rsid w:val="007517B4"/>
    <w:rsid w:val="00761C79"/>
    <w:rsid w:val="00773A08"/>
    <w:rsid w:val="00780DC0"/>
    <w:rsid w:val="00782F5D"/>
    <w:rsid w:val="00791450"/>
    <w:rsid w:val="00792CC1"/>
    <w:rsid w:val="00794C87"/>
    <w:rsid w:val="007A3932"/>
    <w:rsid w:val="007A4016"/>
    <w:rsid w:val="007A467B"/>
    <w:rsid w:val="007B1A37"/>
    <w:rsid w:val="007D1276"/>
    <w:rsid w:val="007E1147"/>
    <w:rsid w:val="00833778"/>
    <w:rsid w:val="00842D43"/>
    <w:rsid w:val="00843E0E"/>
    <w:rsid w:val="00844A29"/>
    <w:rsid w:val="00851BE8"/>
    <w:rsid w:val="00857E95"/>
    <w:rsid w:val="0086386E"/>
    <w:rsid w:val="00864D85"/>
    <w:rsid w:val="008937B5"/>
    <w:rsid w:val="00894603"/>
    <w:rsid w:val="008A00D4"/>
    <w:rsid w:val="008A0322"/>
    <w:rsid w:val="008C5AA3"/>
    <w:rsid w:val="008D18C2"/>
    <w:rsid w:val="008D7EE2"/>
    <w:rsid w:val="00904871"/>
    <w:rsid w:val="0090732D"/>
    <w:rsid w:val="00913D17"/>
    <w:rsid w:val="009152BE"/>
    <w:rsid w:val="0092566C"/>
    <w:rsid w:val="0093142D"/>
    <w:rsid w:val="00932360"/>
    <w:rsid w:val="009463C1"/>
    <w:rsid w:val="009665A0"/>
    <w:rsid w:val="00974818"/>
    <w:rsid w:val="00987E30"/>
    <w:rsid w:val="009A087F"/>
    <w:rsid w:val="009A3711"/>
    <w:rsid w:val="009A5C19"/>
    <w:rsid w:val="009B3FFB"/>
    <w:rsid w:val="009C4C3E"/>
    <w:rsid w:val="009C7B3B"/>
    <w:rsid w:val="009D310B"/>
    <w:rsid w:val="009E15DE"/>
    <w:rsid w:val="009E434A"/>
    <w:rsid w:val="009F2B20"/>
    <w:rsid w:val="00A0465A"/>
    <w:rsid w:val="00A07A64"/>
    <w:rsid w:val="00A07AD6"/>
    <w:rsid w:val="00A11BF0"/>
    <w:rsid w:val="00A11D24"/>
    <w:rsid w:val="00A154B2"/>
    <w:rsid w:val="00A16568"/>
    <w:rsid w:val="00A224AE"/>
    <w:rsid w:val="00A302BD"/>
    <w:rsid w:val="00A36D7E"/>
    <w:rsid w:val="00A36DEE"/>
    <w:rsid w:val="00A417AC"/>
    <w:rsid w:val="00A51750"/>
    <w:rsid w:val="00A60CCD"/>
    <w:rsid w:val="00A710F8"/>
    <w:rsid w:val="00A746EF"/>
    <w:rsid w:val="00A812A9"/>
    <w:rsid w:val="00AA7D73"/>
    <w:rsid w:val="00AB5C38"/>
    <w:rsid w:val="00AC1204"/>
    <w:rsid w:val="00AE7157"/>
    <w:rsid w:val="00B2221C"/>
    <w:rsid w:val="00B27A09"/>
    <w:rsid w:val="00B3281C"/>
    <w:rsid w:val="00B37DAA"/>
    <w:rsid w:val="00B4070A"/>
    <w:rsid w:val="00B46146"/>
    <w:rsid w:val="00B56115"/>
    <w:rsid w:val="00B6538D"/>
    <w:rsid w:val="00B703EE"/>
    <w:rsid w:val="00BA2A51"/>
    <w:rsid w:val="00BA6D80"/>
    <w:rsid w:val="00BA7C20"/>
    <w:rsid w:val="00BC1BCD"/>
    <w:rsid w:val="00BF1FB3"/>
    <w:rsid w:val="00BF50C4"/>
    <w:rsid w:val="00BF6A38"/>
    <w:rsid w:val="00BF7396"/>
    <w:rsid w:val="00C155A9"/>
    <w:rsid w:val="00C40B92"/>
    <w:rsid w:val="00C54727"/>
    <w:rsid w:val="00C605BC"/>
    <w:rsid w:val="00C60D24"/>
    <w:rsid w:val="00C6328D"/>
    <w:rsid w:val="00C809B9"/>
    <w:rsid w:val="00C8128E"/>
    <w:rsid w:val="00C82E5A"/>
    <w:rsid w:val="00CA4844"/>
    <w:rsid w:val="00CB358D"/>
    <w:rsid w:val="00CB6B45"/>
    <w:rsid w:val="00CD77C3"/>
    <w:rsid w:val="00CE52EC"/>
    <w:rsid w:val="00D12303"/>
    <w:rsid w:val="00D206DE"/>
    <w:rsid w:val="00D26C7A"/>
    <w:rsid w:val="00D31593"/>
    <w:rsid w:val="00D32743"/>
    <w:rsid w:val="00D44DB4"/>
    <w:rsid w:val="00D51F31"/>
    <w:rsid w:val="00D5569F"/>
    <w:rsid w:val="00D64474"/>
    <w:rsid w:val="00D660C8"/>
    <w:rsid w:val="00D664C6"/>
    <w:rsid w:val="00D7371A"/>
    <w:rsid w:val="00D93959"/>
    <w:rsid w:val="00D97564"/>
    <w:rsid w:val="00DB0643"/>
    <w:rsid w:val="00DB0AE8"/>
    <w:rsid w:val="00DC7BBB"/>
    <w:rsid w:val="00DE14A5"/>
    <w:rsid w:val="00DE29A1"/>
    <w:rsid w:val="00DF6472"/>
    <w:rsid w:val="00E03DEC"/>
    <w:rsid w:val="00E03E63"/>
    <w:rsid w:val="00E04892"/>
    <w:rsid w:val="00E05C9C"/>
    <w:rsid w:val="00E16546"/>
    <w:rsid w:val="00E328FC"/>
    <w:rsid w:val="00E462DB"/>
    <w:rsid w:val="00E840BC"/>
    <w:rsid w:val="00E92264"/>
    <w:rsid w:val="00EB5CEC"/>
    <w:rsid w:val="00ED3333"/>
    <w:rsid w:val="00EE6504"/>
    <w:rsid w:val="00EF2D34"/>
    <w:rsid w:val="00EF5DBF"/>
    <w:rsid w:val="00F0019F"/>
    <w:rsid w:val="00F0666A"/>
    <w:rsid w:val="00F14C20"/>
    <w:rsid w:val="00F323A6"/>
    <w:rsid w:val="00F52DF1"/>
    <w:rsid w:val="00F6056D"/>
    <w:rsid w:val="00F627FB"/>
    <w:rsid w:val="00F64F4D"/>
    <w:rsid w:val="00F817C3"/>
    <w:rsid w:val="00F8335F"/>
    <w:rsid w:val="00F84979"/>
    <w:rsid w:val="00F91853"/>
    <w:rsid w:val="00F92F84"/>
    <w:rsid w:val="00F94D3F"/>
    <w:rsid w:val="00F974F9"/>
    <w:rsid w:val="00FA38BC"/>
    <w:rsid w:val="00FA64A1"/>
    <w:rsid w:val="00FB2920"/>
    <w:rsid w:val="00FC1EBB"/>
    <w:rsid w:val="00FD3569"/>
    <w:rsid w:val="00FF318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37AB"/>
  <w15:chartTrackingRefBased/>
  <w15:docId w15:val="{6F6E4A15-9A96-42BB-B14C-29D12FF0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EE"/>
    <w:pPr>
      <w:spacing w:after="160" w:line="259" w:lineRule="auto"/>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paragraph" w:styleId="Listeafsnit">
    <w:name w:val="List Paragraph"/>
    <w:basedOn w:val="Normal"/>
    <w:uiPriority w:val="34"/>
    <w:qFormat/>
    <w:rsid w:val="00857E95"/>
    <w:pPr>
      <w:ind w:left="720"/>
      <w:contextualSpacing/>
    </w:pPr>
  </w:style>
  <w:style w:type="table" w:styleId="Tabel-Gitter">
    <w:name w:val="Table Grid"/>
    <w:basedOn w:val="Tabel-Normal"/>
    <w:uiPriority w:val="39"/>
    <w:rsid w:val="00D6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224A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24AE"/>
    <w:rPr>
      <w:rFonts w:ascii="Segoe UI" w:hAnsi="Segoe UI" w:cs="Segoe UI"/>
      <w:sz w:val="18"/>
      <w:szCs w:val="18"/>
      <w:lang w:eastAsia="en-US"/>
    </w:rPr>
  </w:style>
  <w:style w:type="paragraph" w:styleId="Fodnotetekst">
    <w:name w:val="footnote text"/>
    <w:basedOn w:val="Normal"/>
    <w:link w:val="FodnotetekstTegn"/>
    <w:uiPriority w:val="99"/>
    <w:semiHidden/>
    <w:unhideWhenUsed/>
    <w:rsid w:val="00331F6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31F68"/>
    <w:rPr>
      <w:rFonts w:ascii="Cambria" w:hAnsi="Cambria"/>
      <w:lang w:eastAsia="en-US"/>
    </w:rPr>
  </w:style>
  <w:style w:type="character" w:styleId="Fodnotehenvisning">
    <w:name w:val="footnote reference"/>
    <w:basedOn w:val="Standardskrifttypeiafsnit"/>
    <w:uiPriority w:val="99"/>
    <w:semiHidden/>
    <w:unhideWhenUsed/>
    <w:rsid w:val="00331F68"/>
    <w:rPr>
      <w:vertAlign w:val="superscript"/>
    </w:rPr>
  </w:style>
  <w:style w:type="paragraph" w:customStyle="1" w:styleId="oj-doc-ti">
    <w:name w:val="oj-doc-ti"/>
    <w:basedOn w:val="Normal"/>
    <w:rsid w:val="00050EB9"/>
    <w:pPr>
      <w:spacing w:before="100" w:beforeAutospacing="1" w:after="100" w:afterAutospacing="1" w:line="240" w:lineRule="auto"/>
    </w:pPr>
    <w:rPr>
      <w:rFonts w:ascii="Times New Roman" w:eastAsia="Times New Roman" w:hAnsi="Times New Roman"/>
      <w:sz w:val="24"/>
      <w:szCs w:val="24"/>
      <w:lang w:eastAsia="da-DK"/>
    </w:rPr>
  </w:style>
  <w:style w:type="character" w:styleId="Hyperlink">
    <w:name w:val="Hyperlink"/>
    <w:basedOn w:val="Standardskrifttypeiafsnit"/>
    <w:uiPriority w:val="99"/>
    <w:unhideWhenUsed/>
    <w:rsid w:val="006A265C"/>
    <w:rPr>
      <w:color w:val="0563C1" w:themeColor="hyperlink"/>
      <w:u w:val="single"/>
    </w:rPr>
  </w:style>
  <w:style w:type="paragraph" w:styleId="Korrektur">
    <w:name w:val="Revision"/>
    <w:hidden/>
    <w:uiPriority w:val="99"/>
    <w:semiHidden/>
    <w:rsid w:val="00E462DB"/>
    <w:rPr>
      <w:rFonts w:ascii="Cambria" w:hAnsi="Cambria"/>
      <w:sz w:val="22"/>
      <w:szCs w:val="22"/>
      <w:lang w:eastAsia="en-US"/>
    </w:rPr>
  </w:style>
  <w:style w:type="character" w:styleId="Kommentarhenvisning">
    <w:name w:val="annotation reference"/>
    <w:basedOn w:val="Standardskrifttypeiafsnit"/>
    <w:uiPriority w:val="99"/>
    <w:semiHidden/>
    <w:unhideWhenUsed/>
    <w:rsid w:val="00A51750"/>
    <w:rPr>
      <w:sz w:val="16"/>
      <w:szCs w:val="16"/>
    </w:rPr>
  </w:style>
  <w:style w:type="paragraph" w:styleId="Kommentartekst">
    <w:name w:val="annotation text"/>
    <w:basedOn w:val="Normal"/>
    <w:link w:val="KommentartekstTegn"/>
    <w:uiPriority w:val="99"/>
    <w:semiHidden/>
    <w:unhideWhenUsed/>
    <w:rsid w:val="00A517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51750"/>
    <w:rPr>
      <w:rFonts w:ascii="Cambria" w:hAnsi="Cambria"/>
      <w:lang w:eastAsia="en-US"/>
    </w:rPr>
  </w:style>
  <w:style w:type="paragraph" w:styleId="Kommentaremne">
    <w:name w:val="annotation subject"/>
    <w:basedOn w:val="Kommentartekst"/>
    <w:next w:val="Kommentartekst"/>
    <w:link w:val="KommentaremneTegn"/>
    <w:uiPriority w:val="99"/>
    <w:semiHidden/>
    <w:unhideWhenUsed/>
    <w:rsid w:val="00A51750"/>
    <w:rPr>
      <w:b/>
      <w:bCs/>
    </w:rPr>
  </w:style>
  <w:style w:type="character" w:customStyle="1" w:styleId="KommentaremneTegn">
    <w:name w:val="Kommentaremne Tegn"/>
    <w:basedOn w:val="KommentartekstTegn"/>
    <w:link w:val="Kommentaremne"/>
    <w:uiPriority w:val="99"/>
    <w:semiHidden/>
    <w:rsid w:val="00A51750"/>
    <w:rPr>
      <w:rFonts w:ascii="Cambria" w:hAnsi="Cambria"/>
      <w:b/>
      <w:bCs/>
      <w:lang w:eastAsia="en-US"/>
    </w:rPr>
  </w:style>
  <w:style w:type="paragraph" w:customStyle="1" w:styleId="Default">
    <w:name w:val="Default"/>
    <w:rsid w:val="009E434A"/>
    <w:pPr>
      <w:autoSpaceDE w:val="0"/>
      <w:autoSpaceDN w:val="0"/>
      <w:adjustRightInd w:val="0"/>
    </w:pPr>
    <w:rPr>
      <w:rFonts w:ascii="Times New Roman" w:hAnsi="Times New Roman"/>
      <w:color w:val="000000"/>
      <w:sz w:val="24"/>
      <w:szCs w:val="24"/>
    </w:rPr>
  </w:style>
  <w:style w:type="paragraph" w:customStyle="1" w:styleId="Captions">
    <w:name w:val="Captions"/>
    <w:basedOn w:val="Normal"/>
    <w:next w:val="Normal"/>
    <w:link w:val="CaptionsCharChar"/>
    <w:rsid w:val="008937B5"/>
    <w:pPr>
      <w:keepNext/>
      <w:keepLines/>
      <w:spacing w:after="120" w:line="240" w:lineRule="auto"/>
    </w:pPr>
    <w:rPr>
      <w:rFonts w:ascii="Times New Roman" w:eastAsia="Times New Roman" w:hAnsi="Times New Roman"/>
      <w:i/>
      <w:szCs w:val="24"/>
      <w:lang w:val="en-GB" w:eastAsia="en-GB"/>
    </w:rPr>
  </w:style>
  <w:style w:type="character" w:customStyle="1" w:styleId="CaptionsCharChar">
    <w:name w:val="Captions Char Char"/>
    <w:link w:val="Captions"/>
    <w:rsid w:val="008937B5"/>
    <w:rPr>
      <w:rFonts w:ascii="Times New Roman" w:eastAsia="Times New Roman" w:hAnsi="Times New Roman"/>
      <w:i/>
      <w:sz w:val="22"/>
      <w:szCs w:val="24"/>
      <w:lang w:val="en-GB" w:eastAsia="en-GB"/>
    </w:rPr>
  </w:style>
  <w:style w:type="paragraph" w:styleId="Indholdsfortegnelse1">
    <w:name w:val="toc 1"/>
    <w:basedOn w:val="Normal"/>
    <w:next w:val="Normal"/>
    <w:autoRedefine/>
    <w:uiPriority w:val="39"/>
    <w:unhideWhenUsed/>
    <w:rsid w:val="00782F5D"/>
    <w:pPr>
      <w:tabs>
        <w:tab w:val="right" w:leader="dot" w:pos="9628"/>
      </w:tabs>
      <w:spacing w:after="100"/>
    </w:pPr>
  </w:style>
  <w:style w:type="paragraph" w:styleId="Indholdsfortegnelse2">
    <w:name w:val="toc 2"/>
    <w:basedOn w:val="Normal"/>
    <w:next w:val="Normal"/>
    <w:autoRedefine/>
    <w:uiPriority w:val="39"/>
    <w:unhideWhenUsed/>
    <w:rsid w:val="00FF318A"/>
    <w:pPr>
      <w:tabs>
        <w:tab w:val="right" w:leader="dot" w:pos="9628"/>
      </w:tabs>
      <w:spacing w:after="100"/>
      <w:ind w:left="220"/>
    </w:pPr>
  </w:style>
  <w:style w:type="paragraph" w:styleId="Indholdsfortegnelse3">
    <w:name w:val="toc 3"/>
    <w:basedOn w:val="Normal"/>
    <w:next w:val="Normal"/>
    <w:autoRedefine/>
    <w:uiPriority w:val="39"/>
    <w:unhideWhenUsed/>
    <w:rsid w:val="00782F5D"/>
    <w:pPr>
      <w:spacing w:after="100"/>
      <w:ind w:left="440"/>
    </w:pPr>
  </w:style>
  <w:style w:type="paragraph" w:styleId="Sidehoved">
    <w:name w:val="header"/>
    <w:basedOn w:val="Normal"/>
    <w:link w:val="SidehovedTegn"/>
    <w:uiPriority w:val="99"/>
    <w:unhideWhenUsed/>
    <w:rsid w:val="003E6C6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E6C6B"/>
    <w:rPr>
      <w:rFonts w:ascii="Cambria" w:hAnsi="Cambria"/>
      <w:sz w:val="22"/>
      <w:szCs w:val="22"/>
      <w:lang w:eastAsia="en-US"/>
    </w:rPr>
  </w:style>
  <w:style w:type="paragraph" w:styleId="Sidefod">
    <w:name w:val="footer"/>
    <w:basedOn w:val="Normal"/>
    <w:link w:val="SidefodTegn"/>
    <w:uiPriority w:val="99"/>
    <w:unhideWhenUsed/>
    <w:rsid w:val="003E6C6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E6C6B"/>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55">
      <w:bodyDiv w:val="1"/>
      <w:marLeft w:val="0"/>
      <w:marRight w:val="0"/>
      <w:marTop w:val="0"/>
      <w:marBottom w:val="0"/>
      <w:divBdr>
        <w:top w:val="none" w:sz="0" w:space="0" w:color="auto"/>
        <w:left w:val="none" w:sz="0" w:space="0" w:color="auto"/>
        <w:bottom w:val="none" w:sz="0" w:space="0" w:color="auto"/>
        <w:right w:val="none" w:sz="0" w:space="0" w:color="auto"/>
      </w:divBdr>
    </w:div>
    <w:div w:id="394275875">
      <w:bodyDiv w:val="1"/>
      <w:marLeft w:val="0"/>
      <w:marRight w:val="0"/>
      <w:marTop w:val="0"/>
      <w:marBottom w:val="0"/>
      <w:divBdr>
        <w:top w:val="none" w:sz="0" w:space="0" w:color="auto"/>
        <w:left w:val="none" w:sz="0" w:space="0" w:color="auto"/>
        <w:bottom w:val="none" w:sz="0" w:space="0" w:color="auto"/>
        <w:right w:val="none" w:sz="0" w:space="0" w:color="auto"/>
      </w:divBdr>
      <w:divsChild>
        <w:div w:id="837892060">
          <w:marLeft w:val="274"/>
          <w:marRight w:val="0"/>
          <w:marTop w:val="200"/>
          <w:marBottom w:val="0"/>
          <w:divBdr>
            <w:top w:val="none" w:sz="0" w:space="0" w:color="auto"/>
            <w:left w:val="none" w:sz="0" w:space="0" w:color="auto"/>
            <w:bottom w:val="none" w:sz="0" w:space="0" w:color="auto"/>
            <w:right w:val="none" w:sz="0" w:space="0" w:color="auto"/>
          </w:divBdr>
        </w:div>
        <w:div w:id="378365359">
          <w:marLeft w:val="274"/>
          <w:marRight w:val="0"/>
          <w:marTop w:val="200"/>
          <w:marBottom w:val="0"/>
          <w:divBdr>
            <w:top w:val="none" w:sz="0" w:space="0" w:color="auto"/>
            <w:left w:val="none" w:sz="0" w:space="0" w:color="auto"/>
            <w:bottom w:val="none" w:sz="0" w:space="0" w:color="auto"/>
            <w:right w:val="none" w:sz="0" w:space="0" w:color="auto"/>
          </w:divBdr>
        </w:div>
      </w:divsChild>
    </w:div>
    <w:div w:id="452794255">
      <w:bodyDiv w:val="1"/>
      <w:marLeft w:val="0"/>
      <w:marRight w:val="0"/>
      <w:marTop w:val="0"/>
      <w:marBottom w:val="0"/>
      <w:divBdr>
        <w:top w:val="none" w:sz="0" w:space="0" w:color="auto"/>
        <w:left w:val="none" w:sz="0" w:space="0" w:color="auto"/>
        <w:bottom w:val="none" w:sz="0" w:space="0" w:color="auto"/>
        <w:right w:val="none" w:sz="0" w:space="0" w:color="auto"/>
      </w:divBdr>
    </w:div>
    <w:div w:id="591427162">
      <w:bodyDiv w:val="1"/>
      <w:marLeft w:val="0"/>
      <w:marRight w:val="0"/>
      <w:marTop w:val="0"/>
      <w:marBottom w:val="0"/>
      <w:divBdr>
        <w:top w:val="none" w:sz="0" w:space="0" w:color="auto"/>
        <w:left w:val="none" w:sz="0" w:space="0" w:color="auto"/>
        <w:bottom w:val="none" w:sz="0" w:space="0" w:color="auto"/>
        <w:right w:val="none" w:sz="0" w:space="0" w:color="auto"/>
      </w:divBdr>
    </w:div>
    <w:div w:id="619189119">
      <w:bodyDiv w:val="1"/>
      <w:marLeft w:val="0"/>
      <w:marRight w:val="0"/>
      <w:marTop w:val="0"/>
      <w:marBottom w:val="0"/>
      <w:divBdr>
        <w:top w:val="none" w:sz="0" w:space="0" w:color="auto"/>
        <w:left w:val="none" w:sz="0" w:space="0" w:color="auto"/>
        <w:bottom w:val="none" w:sz="0" w:space="0" w:color="auto"/>
        <w:right w:val="none" w:sz="0" w:space="0" w:color="auto"/>
      </w:divBdr>
    </w:div>
    <w:div w:id="648948650">
      <w:bodyDiv w:val="1"/>
      <w:marLeft w:val="0"/>
      <w:marRight w:val="0"/>
      <w:marTop w:val="0"/>
      <w:marBottom w:val="0"/>
      <w:divBdr>
        <w:top w:val="none" w:sz="0" w:space="0" w:color="auto"/>
        <w:left w:val="none" w:sz="0" w:space="0" w:color="auto"/>
        <w:bottom w:val="none" w:sz="0" w:space="0" w:color="auto"/>
        <w:right w:val="none" w:sz="0" w:space="0" w:color="auto"/>
      </w:divBdr>
      <w:divsChild>
        <w:div w:id="1500537180">
          <w:marLeft w:val="274"/>
          <w:marRight w:val="0"/>
          <w:marTop w:val="200"/>
          <w:marBottom w:val="0"/>
          <w:divBdr>
            <w:top w:val="none" w:sz="0" w:space="0" w:color="auto"/>
            <w:left w:val="none" w:sz="0" w:space="0" w:color="auto"/>
            <w:bottom w:val="none" w:sz="0" w:space="0" w:color="auto"/>
            <w:right w:val="none" w:sz="0" w:space="0" w:color="auto"/>
          </w:divBdr>
        </w:div>
      </w:divsChild>
    </w:div>
    <w:div w:id="734818672">
      <w:bodyDiv w:val="1"/>
      <w:marLeft w:val="0"/>
      <w:marRight w:val="0"/>
      <w:marTop w:val="0"/>
      <w:marBottom w:val="0"/>
      <w:divBdr>
        <w:top w:val="none" w:sz="0" w:space="0" w:color="auto"/>
        <w:left w:val="none" w:sz="0" w:space="0" w:color="auto"/>
        <w:bottom w:val="none" w:sz="0" w:space="0" w:color="auto"/>
        <w:right w:val="none" w:sz="0" w:space="0" w:color="auto"/>
      </w:divBdr>
    </w:div>
    <w:div w:id="816997715">
      <w:bodyDiv w:val="1"/>
      <w:marLeft w:val="0"/>
      <w:marRight w:val="0"/>
      <w:marTop w:val="0"/>
      <w:marBottom w:val="0"/>
      <w:divBdr>
        <w:top w:val="none" w:sz="0" w:space="0" w:color="auto"/>
        <w:left w:val="none" w:sz="0" w:space="0" w:color="auto"/>
        <w:bottom w:val="none" w:sz="0" w:space="0" w:color="auto"/>
        <w:right w:val="none" w:sz="0" w:space="0" w:color="auto"/>
      </w:divBdr>
      <w:divsChild>
        <w:div w:id="2122453755">
          <w:marLeft w:val="274"/>
          <w:marRight w:val="0"/>
          <w:marTop w:val="200"/>
          <w:marBottom w:val="0"/>
          <w:divBdr>
            <w:top w:val="none" w:sz="0" w:space="0" w:color="auto"/>
            <w:left w:val="none" w:sz="0" w:space="0" w:color="auto"/>
            <w:bottom w:val="none" w:sz="0" w:space="0" w:color="auto"/>
            <w:right w:val="none" w:sz="0" w:space="0" w:color="auto"/>
          </w:divBdr>
        </w:div>
      </w:divsChild>
    </w:div>
    <w:div w:id="826550234">
      <w:bodyDiv w:val="1"/>
      <w:marLeft w:val="0"/>
      <w:marRight w:val="0"/>
      <w:marTop w:val="0"/>
      <w:marBottom w:val="0"/>
      <w:divBdr>
        <w:top w:val="none" w:sz="0" w:space="0" w:color="auto"/>
        <w:left w:val="none" w:sz="0" w:space="0" w:color="auto"/>
        <w:bottom w:val="none" w:sz="0" w:space="0" w:color="auto"/>
        <w:right w:val="none" w:sz="0" w:space="0" w:color="auto"/>
      </w:divBdr>
      <w:divsChild>
        <w:div w:id="356086636">
          <w:marLeft w:val="274"/>
          <w:marRight w:val="0"/>
          <w:marTop w:val="200"/>
          <w:marBottom w:val="0"/>
          <w:divBdr>
            <w:top w:val="none" w:sz="0" w:space="0" w:color="auto"/>
            <w:left w:val="none" w:sz="0" w:space="0" w:color="auto"/>
            <w:bottom w:val="none" w:sz="0" w:space="0" w:color="auto"/>
            <w:right w:val="none" w:sz="0" w:space="0" w:color="auto"/>
          </w:divBdr>
        </w:div>
      </w:divsChild>
    </w:div>
    <w:div w:id="941887308">
      <w:bodyDiv w:val="1"/>
      <w:marLeft w:val="0"/>
      <w:marRight w:val="0"/>
      <w:marTop w:val="0"/>
      <w:marBottom w:val="0"/>
      <w:divBdr>
        <w:top w:val="none" w:sz="0" w:space="0" w:color="auto"/>
        <w:left w:val="none" w:sz="0" w:space="0" w:color="auto"/>
        <w:bottom w:val="none" w:sz="0" w:space="0" w:color="auto"/>
        <w:right w:val="none" w:sz="0" w:space="0" w:color="auto"/>
      </w:divBdr>
    </w:div>
    <w:div w:id="1021514830">
      <w:bodyDiv w:val="1"/>
      <w:marLeft w:val="0"/>
      <w:marRight w:val="0"/>
      <w:marTop w:val="0"/>
      <w:marBottom w:val="0"/>
      <w:divBdr>
        <w:top w:val="none" w:sz="0" w:space="0" w:color="auto"/>
        <w:left w:val="none" w:sz="0" w:space="0" w:color="auto"/>
        <w:bottom w:val="none" w:sz="0" w:space="0" w:color="auto"/>
        <w:right w:val="none" w:sz="0" w:space="0" w:color="auto"/>
      </w:divBdr>
      <w:divsChild>
        <w:div w:id="1581795680">
          <w:marLeft w:val="446"/>
          <w:marRight w:val="0"/>
          <w:marTop w:val="200"/>
          <w:marBottom w:val="0"/>
          <w:divBdr>
            <w:top w:val="none" w:sz="0" w:space="0" w:color="auto"/>
            <w:left w:val="none" w:sz="0" w:space="0" w:color="auto"/>
            <w:bottom w:val="none" w:sz="0" w:space="0" w:color="auto"/>
            <w:right w:val="none" w:sz="0" w:space="0" w:color="auto"/>
          </w:divBdr>
        </w:div>
        <w:div w:id="788011762">
          <w:marLeft w:val="446"/>
          <w:marRight w:val="0"/>
          <w:marTop w:val="200"/>
          <w:marBottom w:val="0"/>
          <w:divBdr>
            <w:top w:val="none" w:sz="0" w:space="0" w:color="auto"/>
            <w:left w:val="none" w:sz="0" w:space="0" w:color="auto"/>
            <w:bottom w:val="none" w:sz="0" w:space="0" w:color="auto"/>
            <w:right w:val="none" w:sz="0" w:space="0" w:color="auto"/>
          </w:divBdr>
        </w:div>
      </w:divsChild>
    </w:div>
    <w:div w:id="1036928851">
      <w:bodyDiv w:val="1"/>
      <w:marLeft w:val="0"/>
      <w:marRight w:val="0"/>
      <w:marTop w:val="0"/>
      <w:marBottom w:val="0"/>
      <w:divBdr>
        <w:top w:val="none" w:sz="0" w:space="0" w:color="auto"/>
        <w:left w:val="none" w:sz="0" w:space="0" w:color="auto"/>
        <w:bottom w:val="none" w:sz="0" w:space="0" w:color="auto"/>
        <w:right w:val="none" w:sz="0" w:space="0" w:color="auto"/>
      </w:divBdr>
      <w:divsChild>
        <w:div w:id="1179004335">
          <w:marLeft w:val="274"/>
          <w:marRight w:val="0"/>
          <w:marTop w:val="200"/>
          <w:marBottom w:val="360"/>
          <w:divBdr>
            <w:top w:val="none" w:sz="0" w:space="0" w:color="auto"/>
            <w:left w:val="none" w:sz="0" w:space="0" w:color="auto"/>
            <w:bottom w:val="none" w:sz="0" w:space="0" w:color="auto"/>
            <w:right w:val="none" w:sz="0" w:space="0" w:color="auto"/>
          </w:divBdr>
        </w:div>
        <w:div w:id="869101533">
          <w:marLeft w:val="274"/>
          <w:marRight w:val="0"/>
          <w:marTop w:val="200"/>
          <w:marBottom w:val="360"/>
          <w:divBdr>
            <w:top w:val="none" w:sz="0" w:space="0" w:color="auto"/>
            <w:left w:val="none" w:sz="0" w:space="0" w:color="auto"/>
            <w:bottom w:val="none" w:sz="0" w:space="0" w:color="auto"/>
            <w:right w:val="none" w:sz="0" w:space="0" w:color="auto"/>
          </w:divBdr>
        </w:div>
        <w:div w:id="413743396">
          <w:marLeft w:val="274"/>
          <w:marRight w:val="0"/>
          <w:marTop w:val="200"/>
          <w:marBottom w:val="0"/>
          <w:divBdr>
            <w:top w:val="none" w:sz="0" w:space="0" w:color="auto"/>
            <w:left w:val="none" w:sz="0" w:space="0" w:color="auto"/>
            <w:bottom w:val="none" w:sz="0" w:space="0" w:color="auto"/>
            <w:right w:val="none" w:sz="0" w:space="0" w:color="auto"/>
          </w:divBdr>
        </w:div>
        <w:div w:id="1017191201">
          <w:marLeft w:val="1354"/>
          <w:marRight w:val="0"/>
          <w:marTop w:val="100"/>
          <w:marBottom w:val="0"/>
          <w:divBdr>
            <w:top w:val="none" w:sz="0" w:space="0" w:color="auto"/>
            <w:left w:val="none" w:sz="0" w:space="0" w:color="auto"/>
            <w:bottom w:val="none" w:sz="0" w:space="0" w:color="auto"/>
            <w:right w:val="none" w:sz="0" w:space="0" w:color="auto"/>
          </w:divBdr>
        </w:div>
        <w:div w:id="361903998">
          <w:marLeft w:val="1354"/>
          <w:marRight w:val="0"/>
          <w:marTop w:val="100"/>
          <w:marBottom w:val="0"/>
          <w:divBdr>
            <w:top w:val="none" w:sz="0" w:space="0" w:color="auto"/>
            <w:left w:val="none" w:sz="0" w:space="0" w:color="auto"/>
            <w:bottom w:val="none" w:sz="0" w:space="0" w:color="auto"/>
            <w:right w:val="none" w:sz="0" w:space="0" w:color="auto"/>
          </w:divBdr>
        </w:div>
        <w:div w:id="336157588">
          <w:marLeft w:val="1354"/>
          <w:marRight w:val="0"/>
          <w:marTop w:val="100"/>
          <w:marBottom w:val="0"/>
          <w:divBdr>
            <w:top w:val="none" w:sz="0" w:space="0" w:color="auto"/>
            <w:left w:val="none" w:sz="0" w:space="0" w:color="auto"/>
            <w:bottom w:val="none" w:sz="0" w:space="0" w:color="auto"/>
            <w:right w:val="none" w:sz="0" w:space="0" w:color="auto"/>
          </w:divBdr>
        </w:div>
        <w:div w:id="1285650714">
          <w:marLeft w:val="1354"/>
          <w:marRight w:val="0"/>
          <w:marTop w:val="100"/>
          <w:marBottom w:val="0"/>
          <w:divBdr>
            <w:top w:val="none" w:sz="0" w:space="0" w:color="auto"/>
            <w:left w:val="none" w:sz="0" w:space="0" w:color="auto"/>
            <w:bottom w:val="none" w:sz="0" w:space="0" w:color="auto"/>
            <w:right w:val="none" w:sz="0" w:space="0" w:color="auto"/>
          </w:divBdr>
        </w:div>
        <w:div w:id="1509060914">
          <w:marLeft w:val="274"/>
          <w:marRight w:val="0"/>
          <w:marTop w:val="200"/>
          <w:marBottom w:val="0"/>
          <w:divBdr>
            <w:top w:val="none" w:sz="0" w:space="0" w:color="auto"/>
            <w:left w:val="none" w:sz="0" w:space="0" w:color="auto"/>
            <w:bottom w:val="none" w:sz="0" w:space="0" w:color="auto"/>
            <w:right w:val="none" w:sz="0" w:space="0" w:color="auto"/>
          </w:divBdr>
        </w:div>
      </w:divsChild>
    </w:div>
    <w:div w:id="1079910968">
      <w:bodyDiv w:val="1"/>
      <w:marLeft w:val="0"/>
      <w:marRight w:val="0"/>
      <w:marTop w:val="0"/>
      <w:marBottom w:val="0"/>
      <w:divBdr>
        <w:top w:val="none" w:sz="0" w:space="0" w:color="auto"/>
        <w:left w:val="none" w:sz="0" w:space="0" w:color="auto"/>
        <w:bottom w:val="none" w:sz="0" w:space="0" w:color="auto"/>
        <w:right w:val="none" w:sz="0" w:space="0" w:color="auto"/>
      </w:divBdr>
    </w:div>
    <w:div w:id="1100493141">
      <w:bodyDiv w:val="1"/>
      <w:marLeft w:val="0"/>
      <w:marRight w:val="0"/>
      <w:marTop w:val="0"/>
      <w:marBottom w:val="0"/>
      <w:divBdr>
        <w:top w:val="none" w:sz="0" w:space="0" w:color="auto"/>
        <w:left w:val="none" w:sz="0" w:space="0" w:color="auto"/>
        <w:bottom w:val="none" w:sz="0" w:space="0" w:color="auto"/>
        <w:right w:val="none" w:sz="0" w:space="0" w:color="auto"/>
      </w:divBdr>
    </w:div>
    <w:div w:id="1182090101">
      <w:bodyDiv w:val="1"/>
      <w:marLeft w:val="0"/>
      <w:marRight w:val="0"/>
      <w:marTop w:val="0"/>
      <w:marBottom w:val="0"/>
      <w:divBdr>
        <w:top w:val="none" w:sz="0" w:space="0" w:color="auto"/>
        <w:left w:val="none" w:sz="0" w:space="0" w:color="auto"/>
        <w:bottom w:val="none" w:sz="0" w:space="0" w:color="auto"/>
        <w:right w:val="none" w:sz="0" w:space="0" w:color="auto"/>
      </w:divBdr>
      <w:divsChild>
        <w:div w:id="1870025299">
          <w:marLeft w:val="274"/>
          <w:marRight w:val="0"/>
          <w:marTop w:val="200"/>
          <w:marBottom w:val="0"/>
          <w:divBdr>
            <w:top w:val="none" w:sz="0" w:space="0" w:color="auto"/>
            <w:left w:val="none" w:sz="0" w:space="0" w:color="auto"/>
            <w:bottom w:val="none" w:sz="0" w:space="0" w:color="auto"/>
            <w:right w:val="none" w:sz="0" w:space="0" w:color="auto"/>
          </w:divBdr>
        </w:div>
        <w:div w:id="538518072">
          <w:marLeft w:val="274"/>
          <w:marRight w:val="0"/>
          <w:marTop w:val="200"/>
          <w:marBottom w:val="0"/>
          <w:divBdr>
            <w:top w:val="none" w:sz="0" w:space="0" w:color="auto"/>
            <w:left w:val="none" w:sz="0" w:space="0" w:color="auto"/>
            <w:bottom w:val="none" w:sz="0" w:space="0" w:color="auto"/>
            <w:right w:val="none" w:sz="0" w:space="0" w:color="auto"/>
          </w:divBdr>
        </w:div>
      </w:divsChild>
    </w:div>
    <w:div w:id="1253398041">
      <w:bodyDiv w:val="1"/>
      <w:marLeft w:val="0"/>
      <w:marRight w:val="0"/>
      <w:marTop w:val="0"/>
      <w:marBottom w:val="0"/>
      <w:divBdr>
        <w:top w:val="none" w:sz="0" w:space="0" w:color="auto"/>
        <w:left w:val="none" w:sz="0" w:space="0" w:color="auto"/>
        <w:bottom w:val="none" w:sz="0" w:space="0" w:color="auto"/>
        <w:right w:val="none" w:sz="0" w:space="0" w:color="auto"/>
      </w:divBdr>
      <w:divsChild>
        <w:div w:id="675420070">
          <w:marLeft w:val="274"/>
          <w:marRight w:val="0"/>
          <w:marTop w:val="200"/>
          <w:marBottom w:val="0"/>
          <w:divBdr>
            <w:top w:val="none" w:sz="0" w:space="0" w:color="auto"/>
            <w:left w:val="none" w:sz="0" w:space="0" w:color="auto"/>
            <w:bottom w:val="none" w:sz="0" w:space="0" w:color="auto"/>
            <w:right w:val="none" w:sz="0" w:space="0" w:color="auto"/>
          </w:divBdr>
        </w:div>
        <w:div w:id="762073269">
          <w:marLeft w:val="274"/>
          <w:marRight w:val="0"/>
          <w:marTop w:val="200"/>
          <w:marBottom w:val="0"/>
          <w:divBdr>
            <w:top w:val="none" w:sz="0" w:space="0" w:color="auto"/>
            <w:left w:val="none" w:sz="0" w:space="0" w:color="auto"/>
            <w:bottom w:val="none" w:sz="0" w:space="0" w:color="auto"/>
            <w:right w:val="none" w:sz="0" w:space="0" w:color="auto"/>
          </w:divBdr>
        </w:div>
      </w:divsChild>
    </w:div>
    <w:div w:id="1313560250">
      <w:bodyDiv w:val="1"/>
      <w:marLeft w:val="0"/>
      <w:marRight w:val="0"/>
      <w:marTop w:val="0"/>
      <w:marBottom w:val="0"/>
      <w:divBdr>
        <w:top w:val="none" w:sz="0" w:space="0" w:color="auto"/>
        <w:left w:val="none" w:sz="0" w:space="0" w:color="auto"/>
        <w:bottom w:val="none" w:sz="0" w:space="0" w:color="auto"/>
        <w:right w:val="none" w:sz="0" w:space="0" w:color="auto"/>
      </w:divBdr>
    </w:div>
    <w:div w:id="1325087709">
      <w:bodyDiv w:val="1"/>
      <w:marLeft w:val="0"/>
      <w:marRight w:val="0"/>
      <w:marTop w:val="0"/>
      <w:marBottom w:val="0"/>
      <w:divBdr>
        <w:top w:val="none" w:sz="0" w:space="0" w:color="auto"/>
        <w:left w:val="none" w:sz="0" w:space="0" w:color="auto"/>
        <w:bottom w:val="none" w:sz="0" w:space="0" w:color="auto"/>
        <w:right w:val="none" w:sz="0" w:space="0" w:color="auto"/>
      </w:divBdr>
    </w:div>
    <w:div w:id="1366365674">
      <w:bodyDiv w:val="1"/>
      <w:marLeft w:val="0"/>
      <w:marRight w:val="0"/>
      <w:marTop w:val="0"/>
      <w:marBottom w:val="0"/>
      <w:divBdr>
        <w:top w:val="none" w:sz="0" w:space="0" w:color="auto"/>
        <w:left w:val="none" w:sz="0" w:space="0" w:color="auto"/>
        <w:bottom w:val="none" w:sz="0" w:space="0" w:color="auto"/>
        <w:right w:val="none" w:sz="0" w:space="0" w:color="auto"/>
      </w:divBdr>
    </w:div>
    <w:div w:id="1534227816">
      <w:bodyDiv w:val="1"/>
      <w:marLeft w:val="0"/>
      <w:marRight w:val="0"/>
      <w:marTop w:val="0"/>
      <w:marBottom w:val="0"/>
      <w:divBdr>
        <w:top w:val="none" w:sz="0" w:space="0" w:color="auto"/>
        <w:left w:val="none" w:sz="0" w:space="0" w:color="auto"/>
        <w:bottom w:val="none" w:sz="0" w:space="0" w:color="auto"/>
        <w:right w:val="none" w:sz="0" w:space="0" w:color="auto"/>
      </w:divBdr>
    </w:div>
    <w:div w:id="1654331454">
      <w:bodyDiv w:val="1"/>
      <w:marLeft w:val="0"/>
      <w:marRight w:val="0"/>
      <w:marTop w:val="0"/>
      <w:marBottom w:val="0"/>
      <w:divBdr>
        <w:top w:val="none" w:sz="0" w:space="0" w:color="auto"/>
        <w:left w:val="none" w:sz="0" w:space="0" w:color="auto"/>
        <w:bottom w:val="none" w:sz="0" w:space="0" w:color="auto"/>
        <w:right w:val="none" w:sz="0" w:space="0" w:color="auto"/>
      </w:divBdr>
    </w:div>
    <w:div w:id="1673486296">
      <w:bodyDiv w:val="1"/>
      <w:marLeft w:val="0"/>
      <w:marRight w:val="0"/>
      <w:marTop w:val="0"/>
      <w:marBottom w:val="0"/>
      <w:divBdr>
        <w:top w:val="none" w:sz="0" w:space="0" w:color="auto"/>
        <w:left w:val="none" w:sz="0" w:space="0" w:color="auto"/>
        <w:bottom w:val="none" w:sz="0" w:space="0" w:color="auto"/>
        <w:right w:val="none" w:sz="0" w:space="0" w:color="auto"/>
      </w:divBdr>
      <w:divsChild>
        <w:div w:id="384373051">
          <w:marLeft w:val="274"/>
          <w:marRight w:val="0"/>
          <w:marTop w:val="200"/>
          <w:marBottom w:val="0"/>
          <w:divBdr>
            <w:top w:val="none" w:sz="0" w:space="0" w:color="auto"/>
            <w:left w:val="none" w:sz="0" w:space="0" w:color="auto"/>
            <w:bottom w:val="none" w:sz="0" w:space="0" w:color="auto"/>
            <w:right w:val="none" w:sz="0" w:space="0" w:color="auto"/>
          </w:divBdr>
        </w:div>
        <w:div w:id="1395661188">
          <w:marLeft w:val="274"/>
          <w:marRight w:val="0"/>
          <w:marTop w:val="200"/>
          <w:marBottom w:val="0"/>
          <w:divBdr>
            <w:top w:val="none" w:sz="0" w:space="0" w:color="auto"/>
            <w:left w:val="none" w:sz="0" w:space="0" w:color="auto"/>
            <w:bottom w:val="none" w:sz="0" w:space="0" w:color="auto"/>
            <w:right w:val="none" w:sz="0" w:space="0" w:color="auto"/>
          </w:divBdr>
        </w:div>
      </w:divsChild>
    </w:div>
    <w:div w:id="1708406842">
      <w:bodyDiv w:val="1"/>
      <w:marLeft w:val="0"/>
      <w:marRight w:val="0"/>
      <w:marTop w:val="0"/>
      <w:marBottom w:val="0"/>
      <w:divBdr>
        <w:top w:val="none" w:sz="0" w:space="0" w:color="auto"/>
        <w:left w:val="none" w:sz="0" w:space="0" w:color="auto"/>
        <w:bottom w:val="none" w:sz="0" w:space="0" w:color="auto"/>
        <w:right w:val="none" w:sz="0" w:space="0" w:color="auto"/>
      </w:divBdr>
    </w:div>
    <w:div w:id="1767461602">
      <w:bodyDiv w:val="1"/>
      <w:marLeft w:val="0"/>
      <w:marRight w:val="0"/>
      <w:marTop w:val="0"/>
      <w:marBottom w:val="0"/>
      <w:divBdr>
        <w:top w:val="none" w:sz="0" w:space="0" w:color="auto"/>
        <w:left w:val="none" w:sz="0" w:space="0" w:color="auto"/>
        <w:bottom w:val="none" w:sz="0" w:space="0" w:color="auto"/>
        <w:right w:val="none" w:sz="0" w:space="0" w:color="auto"/>
      </w:divBdr>
      <w:divsChild>
        <w:div w:id="1683700482">
          <w:marLeft w:val="446"/>
          <w:marRight w:val="0"/>
          <w:marTop w:val="200"/>
          <w:marBottom w:val="0"/>
          <w:divBdr>
            <w:top w:val="none" w:sz="0" w:space="0" w:color="auto"/>
            <w:left w:val="none" w:sz="0" w:space="0" w:color="auto"/>
            <w:bottom w:val="none" w:sz="0" w:space="0" w:color="auto"/>
            <w:right w:val="none" w:sz="0" w:space="0" w:color="auto"/>
          </w:divBdr>
        </w:div>
        <w:div w:id="778836636">
          <w:marLeft w:val="446"/>
          <w:marRight w:val="0"/>
          <w:marTop w:val="200"/>
          <w:marBottom w:val="0"/>
          <w:divBdr>
            <w:top w:val="none" w:sz="0" w:space="0" w:color="auto"/>
            <w:left w:val="none" w:sz="0" w:space="0" w:color="auto"/>
            <w:bottom w:val="none" w:sz="0" w:space="0" w:color="auto"/>
            <w:right w:val="none" w:sz="0" w:space="0" w:color="auto"/>
          </w:divBdr>
        </w:div>
      </w:divsChild>
    </w:div>
    <w:div w:id="1799378888">
      <w:bodyDiv w:val="1"/>
      <w:marLeft w:val="0"/>
      <w:marRight w:val="0"/>
      <w:marTop w:val="0"/>
      <w:marBottom w:val="0"/>
      <w:divBdr>
        <w:top w:val="none" w:sz="0" w:space="0" w:color="auto"/>
        <w:left w:val="none" w:sz="0" w:space="0" w:color="auto"/>
        <w:bottom w:val="none" w:sz="0" w:space="0" w:color="auto"/>
        <w:right w:val="none" w:sz="0" w:space="0" w:color="auto"/>
      </w:divBdr>
    </w:div>
    <w:div w:id="1896113028">
      <w:bodyDiv w:val="1"/>
      <w:marLeft w:val="0"/>
      <w:marRight w:val="0"/>
      <w:marTop w:val="0"/>
      <w:marBottom w:val="0"/>
      <w:divBdr>
        <w:top w:val="none" w:sz="0" w:space="0" w:color="auto"/>
        <w:left w:val="none" w:sz="0" w:space="0" w:color="auto"/>
        <w:bottom w:val="none" w:sz="0" w:space="0" w:color="auto"/>
        <w:right w:val="none" w:sz="0" w:space="0" w:color="auto"/>
      </w:divBdr>
    </w:div>
    <w:div w:id="1897273700">
      <w:bodyDiv w:val="1"/>
      <w:marLeft w:val="0"/>
      <w:marRight w:val="0"/>
      <w:marTop w:val="0"/>
      <w:marBottom w:val="0"/>
      <w:divBdr>
        <w:top w:val="none" w:sz="0" w:space="0" w:color="auto"/>
        <w:left w:val="none" w:sz="0" w:space="0" w:color="auto"/>
        <w:bottom w:val="none" w:sz="0" w:space="0" w:color="auto"/>
        <w:right w:val="none" w:sz="0" w:space="0" w:color="auto"/>
      </w:divBdr>
      <w:divsChild>
        <w:div w:id="982925938">
          <w:marLeft w:val="274"/>
          <w:marRight w:val="0"/>
          <w:marTop w:val="200"/>
          <w:marBottom w:val="360"/>
          <w:divBdr>
            <w:top w:val="none" w:sz="0" w:space="0" w:color="auto"/>
            <w:left w:val="none" w:sz="0" w:space="0" w:color="auto"/>
            <w:bottom w:val="none" w:sz="0" w:space="0" w:color="auto"/>
            <w:right w:val="none" w:sz="0" w:space="0" w:color="auto"/>
          </w:divBdr>
        </w:div>
        <w:div w:id="786243451">
          <w:marLeft w:val="274"/>
          <w:marRight w:val="0"/>
          <w:marTop w:val="200"/>
          <w:marBottom w:val="360"/>
          <w:divBdr>
            <w:top w:val="none" w:sz="0" w:space="0" w:color="auto"/>
            <w:left w:val="none" w:sz="0" w:space="0" w:color="auto"/>
            <w:bottom w:val="none" w:sz="0" w:space="0" w:color="auto"/>
            <w:right w:val="none" w:sz="0" w:space="0" w:color="auto"/>
          </w:divBdr>
        </w:div>
        <w:div w:id="1716275738">
          <w:marLeft w:val="274"/>
          <w:marRight w:val="0"/>
          <w:marTop w:val="200"/>
          <w:marBottom w:val="0"/>
          <w:divBdr>
            <w:top w:val="none" w:sz="0" w:space="0" w:color="auto"/>
            <w:left w:val="none" w:sz="0" w:space="0" w:color="auto"/>
            <w:bottom w:val="none" w:sz="0" w:space="0" w:color="auto"/>
            <w:right w:val="none" w:sz="0" w:space="0" w:color="auto"/>
          </w:divBdr>
        </w:div>
        <w:div w:id="569390911">
          <w:marLeft w:val="1354"/>
          <w:marRight w:val="0"/>
          <w:marTop w:val="100"/>
          <w:marBottom w:val="0"/>
          <w:divBdr>
            <w:top w:val="none" w:sz="0" w:space="0" w:color="auto"/>
            <w:left w:val="none" w:sz="0" w:space="0" w:color="auto"/>
            <w:bottom w:val="none" w:sz="0" w:space="0" w:color="auto"/>
            <w:right w:val="none" w:sz="0" w:space="0" w:color="auto"/>
          </w:divBdr>
        </w:div>
        <w:div w:id="869032823">
          <w:marLeft w:val="1354"/>
          <w:marRight w:val="0"/>
          <w:marTop w:val="100"/>
          <w:marBottom w:val="0"/>
          <w:divBdr>
            <w:top w:val="none" w:sz="0" w:space="0" w:color="auto"/>
            <w:left w:val="none" w:sz="0" w:space="0" w:color="auto"/>
            <w:bottom w:val="none" w:sz="0" w:space="0" w:color="auto"/>
            <w:right w:val="none" w:sz="0" w:space="0" w:color="auto"/>
          </w:divBdr>
        </w:div>
        <w:div w:id="1563561836">
          <w:marLeft w:val="1354"/>
          <w:marRight w:val="0"/>
          <w:marTop w:val="100"/>
          <w:marBottom w:val="0"/>
          <w:divBdr>
            <w:top w:val="none" w:sz="0" w:space="0" w:color="auto"/>
            <w:left w:val="none" w:sz="0" w:space="0" w:color="auto"/>
            <w:bottom w:val="none" w:sz="0" w:space="0" w:color="auto"/>
            <w:right w:val="none" w:sz="0" w:space="0" w:color="auto"/>
          </w:divBdr>
        </w:div>
        <w:div w:id="554631423">
          <w:marLeft w:val="1354"/>
          <w:marRight w:val="0"/>
          <w:marTop w:val="100"/>
          <w:marBottom w:val="0"/>
          <w:divBdr>
            <w:top w:val="none" w:sz="0" w:space="0" w:color="auto"/>
            <w:left w:val="none" w:sz="0" w:space="0" w:color="auto"/>
            <w:bottom w:val="none" w:sz="0" w:space="0" w:color="auto"/>
            <w:right w:val="none" w:sz="0" w:space="0" w:color="auto"/>
          </w:divBdr>
        </w:div>
        <w:div w:id="1845976300">
          <w:marLeft w:val="274"/>
          <w:marRight w:val="0"/>
          <w:marTop w:val="200"/>
          <w:marBottom w:val="0"/>
          <w:divBdr>
            <w:top w:val="none" w:sz="0" w:space="0" w:color="auto"/>
            <w:left w:val="none" w:sz="0" w:space="0" w:color="auto"/>
            <w:bottom w:val="none" w:sz="0" w:space="0" w:color="auto"/>
            <w:right w:val="none" w:sz="0" w:space="0" w:color="auto"/>
          </w:divBdr>
        </w:div>
      </w:divsChild>
    </w:div>
    <w:div w:id="1977374948">
      <w:bodyDiv w:val="1"/>
      <w:marLeft w:val="0"/>
      <w:marRight w:val="0"/>
      <w:marTop w:val="0"/>
      <w:marBottom w:val="0"/>
      <w:divBdr>
        <w:top w:val="none" w:sz="0" w:space="0" w:color="auto"/>
        <w:left w:val="none" w:sz="0" w:space="0" w:color="auto"/>
        <w:bottom w:val="none" w:sz="0" w:space="0" w:color="auto"/>
        <w:right w:val="none" w:sz="0" w:space="0" w:color="auto"/>
      </w:divBdr>
    </w:div>
    <w:div w:id="1989043340">
      <w:bodyDiv w:val="1"/>
      <w:marLeft w:val="0"/>
      <w:marRight w:val="0"/>
      <w:marTop w:val="0"/>
      <w:marBottom w:val="0"/>
      <w:divBdr>
        <w:top w:val="none" w:sz="0" w:space="0" w:color="auto"/>
        <w:left w:val="none" w:sz="0" w:space="0" w:color="auto"/>
        <w:bottom w:val="none" w:sz="0" w:space="0" w:color="auto"/>
        <w:right w:val="none" w:sz="0" w:space="0" w:color="auto"/>
      </w:divBdr>
    </w:div>
    <w:div w:id="20937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sustainable-finance-taxonomy/"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6F57-D9D0-49BE-B907-DA1CE1D4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11711</Words>
  <Characters>71438</Characters>
  <Application>Microsoft Office Word</Application>
  <DocSecurity>4</DocSecurity>
  <Lines>595</Lines>
  <Paragraphs>165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Ringkøbing-Skjern Kommune</Company>
  <LinksUpToDate>false</LinksUpToDate>
  <CharactersWithSpaces>82984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Nautrup Jensen</dc:creator>
  <cp:keywords/>
  <dc:description/>
  <cp:lastModifiedBy>Søren Pallisgaard Konnerup</cp:lastModifiedBy>
  <cp:revision>2</cp:revision>
  <dcterms:created xsi:type="dcterms:W3CDTF">2022-09-08T12:19:00Z</dcterms:created>
  <dcterms:modified xsi:type="dcterms:W3CDTF">2022-09-08T12:19:00Z</dcterms:modified>
</cp:coreProperties>
</file>